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6E27D" w14:textId="77777777" w:rsidR="00B0059B" w:rsidRPr="00FD2DE6" w:rsidRDefault="00B0059B"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Start w:id="2" w:name="_GoBack"/>
      <w:bookmarkEnd w:id="0"/>
      <w:bookmarkEnd w:id="2"/>
      <w:r w:rsidRPr="00FD2DE6">
        <w:rPr>
          <w:rFonts w:ascii="Montserrat" w:hAnsi="Montserrat"/>
          <w:b/>
          <w:bCs/>
        </w:rPr>
        <w:t xml:space="preserve">NOTAS A LOS ESTADOS FINANCIEROS CONSOLIDADOS </w:t>
      </w:r>
    </w:p>
    <w:p w14:paraId="4BABB5FE" w14:textId="77777777" w:rsidR="00B0059B" w:rsidRPr="00FD2DE6"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FD2DE6">
        <w:rPr>
          <w:rFonts w:ascii="Montserrat" w:hAnsi="Montserrat"/>
          <w:b/>
          <w:bCs/>
        </w:rPr>
        <w:t>DEL PODER EJECUTIVO</w:t>
      </w:r>
    </w:p>
    <w:p w14:paraId="1571B049" w14:textId="77777777" w:rsidR="00B0059B" w:rsidRPr="00FD2DE6" w:rsidRDefault="00B0059B" w:rsidP="00B0059B">
      <w:pPr>
        <w:pBdr>
          <w:top w:val="nil"/>
          <w:left w:val="nil"/>
          <w:bottom w:val="nil"/>
          <w:right w:val="nil"/>
          <w:between w:val="nil"/>
        </w:pBdr>
        <w:spacing w:line="360" w:lineRule="auto"/>
        <w:jc w:val="both"/>
        <w:rPr>
          <w:rFonts w:ascii="Montserrat" w:hAnsi="Montserrat"/>
        </w:rPr>
      </w:pPr>
    </w:p>
    <w:p w14:paraId="4584A049" w14:textId="5FED00D6" w:rsidR="00B0059B" w:rsidRPr="00FD2DE6" w:rsidRDefault="00B0059B" w:rsidP="00B0059B">
      <w:pPr>
        <w:pBdr>
          <w:top w:val="nil"/>
          <w:left w:val="nil"/>
          <w:bottom w:val="nil"/>
          <w:right w:val="nil"/>
          <w:between w:val="nil"/>
        </w:pBdr>
        <w:jc w:val="both"/>
        <w:rPr>
          <w:rFonts w:ascii="Montserrat" w:hAnsi="Montserrat"/>
        </w:rPr>
      </w:pPr>
      <w:r w:rsidRPr="00FD2DE6">
        <w:rPr>
          <w:rFonts w:ascii="Montserrat" w:hAnsi="Montserrat"/>
        </w:rPr>
        <w:t>Las notas a los Estados Financieros Consolidados del Poder Ejecutivo correspondientes al periodo enero-</w:t>
      </w:r>
      <w:r w:rsidR="00A259CD">
        <w:rPr>
          <w:rFonts w:ascii="Montserrat" w:hAnsi="Montserrat"/>
        </w:rPr>
        <w:t>septiembre</w:t>
      </w:r>
      <w:r w:rsidR="00DE372D" w:rsidRPr="00FD2DE6">
        <w:rPr>
          <w:rFonts w:ascii="Montserrat" w:hAnsi="Montserrat"/>
        </w:rPr>
        <w:t xml:space="preserve"> </w:t>
      </w:r>
      <w:r w:rsidRPr="00FD2DE6">
        <w:rPr>
          <w:rFonts w:ascii="Montserrat" w:hAnsi="Montserrat"/>
        </w:rPr>
        <w:t>2024, están estructuradas y elaboradas de conformidad con el artículo 46, fracción I; inciso g), y 49 de la Ley General de Contabilidad Gubernamental, así como a la normatividad emitida por el Consejo Nacional de Armonización Contable (CONAC), y el artículo 13 inciso II), de la Ley de Fiscalización Superior y Rendición de Cuentas para el Estado de Oaxaca, con los siguientes apartados:</w:t>
      </w:r>
    </w:p>
    <w:p w14:paraId="0C05DA1A" w14:textId="77777777" w:rsidR="00B0059B" w:rsidRPr="00FD2DE6" w:rsidRDefault="00B0059B" w:rsidP="00B0059B">
      <w:pPr>
        <w:pBdr>
          <w:top w:val="nil"/>
          <w:left w:val="nil"/>
          <w:bottom w:val="nil"/>
          <w:right w:val="nil"/>
          <w:between w:val="nil"/>
        </w:pBdr>
        <w:jc w:val="both"/>
        <w:rPr>
          <w:rFonts w:ascii="Montserrat" w:hAnsi="Montserrat"/>
        </w:rPr>
      </w:pPr>
    </w:p>
    <w:p w14:paraId="578CD928"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Gestión Administrativa.</w:t>
      </w:r>
    </w:p>
    <w:p w14:paraId="5173B8D5"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Desglose.</w:t>
      </w:r>
    </w:p>
    <w:p w14:paraId="5F86B365"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Memoria.</w:t>
      </w:r>
    </w:p>
    <w:p w14:paraId="4D9D18BC" w14:textId="77777777" w:rsidR="00B0059B" w:rsidRPr="00FD2DE6" w:rsidRDefault="00B0059B" w:rsidP="00B0059B">
      <w:pPr>
        <w:jc w:val="both"/>
        <w:rPr>
          <w:rFonts w:ascii="Montserrat" w:hAnsi="Montserrat"/>
        </w:rPr>
      </w:pPr>
    </w:p>
    <w:p w14:paraId="1ECAC57B" w14:textId="77777777" w:rsidR="00B0059B" w:rsidRPr="00FD2DE6" w:rsidRDefault="00B0059B" w:rsidP="00B0059B">
      <w:pPr>
        <w:jc w:val="both"/>
        <w:rPr>
          <w:rFonts w:ascii="Montserrat" w:hAnsi="Montserrat"/>
        </w:rPr>
      </w:pPr>
    </w:p>
    <w:p w14:paraId="6406C9B6" w14:textId="77777777" w:rsidR="00B0059B" w:rsidRPr="00FD2DE6" w:rsidRDefault="00B0059B" w:rsidP="00B0059B">
      <w:pPr>
        <w:jc w:val="center"/>
        <w:rPr>
          <w:rFonts w:ascii="Montserrat" w:hAnsi="Montserrat"/>
          <w:b/>
        </w:rPr>
      </w:pPr>
      <w:bookmarkStart w:id="3" w:name="_Hlk157387195"/>
      <w:r w:rsidRPr="00FD2DE6">
        <w:rPr>
          <w:rFonts w:ascii="Montserrat" w:hAnsi="Montserrat"/>
          <w:b/>
        </w:rPr>
        <w:t>NOTAS DE GESTIÓN ADMINISTRATIVA</w:t>
      </w:r>
    </w:p>
    <w:bookmarkEnd w:id="3"/>
    <w:p w14:paraId="737536A3" w14:textId="77777777" w:rsidR="00B0059B" w:rsidRPr="00FD2DE6" w:rsidRDefault="00B0059B" w:rsidP="00B0059B">
      <w:pPr>
        <w:tabs>
          <w:tab w:val="left" w:pos="7260"/>
        </w:tabs>
        <w:jc w:val="both"/>
        <w:rPr>
          <w:rFonts w:ascii="Montserrat" w:eastAsia="Times New Roman" w:hAnsi="Montserrat" w:cs="Arial"/>
        </w:rPr>
      </w:pPr>
    </w:p>
    <w:p w14:paraId="72BDFE27" w14:textId="77777777" w:rsidR="00B0059B" w:rsidRPr="00FD2DE6" w:rsidRDefault="00B0059B" w:rsidP="00B0059B">
      <w:pPr>
        <w:widowControl w:val="0"/>
        <w:jc w:val="both"/>
        <w:rPr>
          <w:rFonts w:ascii="Montserrat" w:hAnsi="Montserrat"/>
          <w:b/>
        </w:rPr>
      </w:pPr>
      <w:r w:rsidRPr="00FD2DE6">
        <w:rPr>
          <w:rFonts w:ascii="Montserrat" w:hAnsi="Montserrat"/>
          <w:b/>
        </w:rPr>
        <w:t>Introducción</w:t>
      </w:r>
    </w:p>
    <w:p w14:paraId="7DCC1094" w14:textId="77777777" w:rsidR="00B0059B" w:rsidRPr="00FD2DE6" w:rsidRDefault="00B0059B" w:rsidP="00B0059B">
      <w:pPr>
        <w:tabs>
          <w:tab w:val="left" w:pos="7260"/>
        </w:tabs>
        <w:jc w:val="both"/>
        <w:rPr>
          <w:rFonts w:ascii="Montserrat" w:eastAsia="Times New Roman" w:hAnsi="Montserrat" w:cs="Arial"/>
        </w:rPr>
      </w:pPr>
    </w:p>
    <w:p w14:paraId="18A50C0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FD2DE6" w:rsidRDefault="00B0059B" w:rsidP="00B0059B">
      <w:pPr>
        <w:tabs>
          <w:tab w:val="left" w:pos="7260"/>
        </w:tabs>
        <w:jc w:val="both"/>
        <w:rPr>
          <w:rFonts w:ascii="Montserrat" w:eastAsia="Times New Roman" w:hAnsi="Montserrat" w:cs="Arial"/>
        </w:rPr>
      </w:pPr>
    </w:p>
    <w:p w14:paraId="4EA0AFE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FD2DE6" w:rsidRDefault="00B0059B" w:rsidP="00B0059B">
      <w:pPr>
        <w:tabs>
          <w:tab w:val="left" w:pos="7260"/>
        </w:tabs>
        <w:jc w:val="both"/>
        <w:rPr>
          <w:rFonts w:ascii="Montserrat" w:eastAsia="Times New Roman" w:hAnsi="Montserrat" w:cs="Arial"/>
        </w:rPr>
      </w:pPr>
    </w:p>
    <w:p w14:paraId="7DA0E7BD" w14:textId="6942A096"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del Poder Ejecutivo son elaborados por la Secretaría de Finanzas bajo la responsabilidad de la Dirección de Contabilidad</w:t>
      </w:r>
      <w:r w:rsidR="00A259CD">
        <w:rPr>
          <w:rFonts w:ascii="Montserrat" w:eastAsia="Times New Roman" w:hAnsi="Montserrat" w:cs="Arial"/>
        </w:rPr>
        <w:t xml:space="preserve"> Gubernamental</w:t>
      </w:r>
      <w:r w:rsidRPr="00FD2DE6">
        <w:rPr>
          <w:rFonts w:ascii="Montserrat" w:eastAsia="Times New Roman" w:hAnsi="Montserrat" w:cs="Arial"/>
        </w:rPr>
        <w:t xml:space="preserve">, formulados con sustento a las disposiciones legales, normas contables y presupuestales del Estado, con avances en el apego a los criterios de armonización que dicta la Ley General de </w:t>
      </w:r>
      <w:r w:rsidRPr="00FD2DE6">
        <w:rPr>
          <w:rFonts w:ascii="Montserrat" w:eastAsia="Times New Roman" w:hAnsi="Montserrat" w:cs="Arial"/>
        </w:rPr>
        <w:lastRenderedPageBreak/>
        <w:t>Contabilidad Gubernamental y las Normas y Metodologías para la Emisión 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FD2DE6" w:rsidRDefault="00B0059B" w:rsidP="00B0059B">
      <w:pPr>
        <w:tabs>
          <w:tab w:val="left" w:pos="7260"/>
        </w:tabs>
        <w:jc w:val="both"/>
        <w:rPr>
          <w:rFonts w:ascii="Montserrat" w:eastAsia="Times New Roman" w:hAnsi="Montserrat" w:cs="Arial"/>
        </w:rPr>
      </w:pPr>
    </w:p>
    <w:p w14:paraId="5FC4B57B"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Autorización e Historia.</w:t>
      </w:r>
    </w:p>
    <w:p w14:paraId="18732852" w14:textId="77777777" w:rsidR="00B0059B" w:rsidRPr="00FD2DE6" w:rsidRDefault="00B0059B" w:rsidP="00B0059B">
      <w:pPr>
        <w:pStyle w:val="Prrafodelista"/>
        <w:widowControl w:val="0"/>
        <w:ind w:left="426"/>
        <w:jc w:val="both"/>
        <w:rPr>
          <w:rFonts w:ascii="Montserrat" w:hAnsi="Montserrat"/>
          <w:b/>
          <w:sz w:val="24"/>
          <w:szCs w:val="24"/>
        </w:rPr>
      </w:pPr>
    </w:p>
    <w:p w14:paraId="14DE9634" w14:textId="77777777" w:rsidR="00B0059B" w:rsidRPr="00FD2DE6"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Fecha de creación del ente público.</w:t>
      </w:r>
    </w:p>
    <w:p w14:paraId="3A34F62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FD2DE6" w:rsidRDefault="00B0059B" w:rsidP="00B0059B">
      <w:pPr>
        <w:tabs>
          <w:tab w:val="left" w:pos="7260"/>
        </w:tabs>
        <w:jc w:val="both"/>
        <w:rPr>
          <w:rFonts w:ascii="Montserrat" w:eastAsia="Times New Roman" w:hAnsi="Montserrat" w:cs="Arial"/>
        </w:rPr>
      </w:pPr>
    </w:p>
    <w:p w14:paraId="070DC3C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2,563 localidades.</w:t>
      </w:r>
    </w:p>
    <w:p w14:paraId="361B989B" w14:textId="77777777" w:rsidR="00B0059B" w:rsidRPr="00FD2DE6" w:rsidRDefault="00B0059B" w:rsidP="00B0059B">
      <w:pPr>
        <w:tabs>
          <w:tab w:val="left" w:pos="7260"/>
        </w:tabs>
        <w:jc w:val="both"/>
        <w:rPr>
          <w:rFonts w:ascii="Montserrat" w:eastAsia="Times New Roman" w:hAnsi="Montserrat" w:cs="Arial"/>
        </w:rPr>
      </w:pPr>
    </w:p>
    <w:p w14:paraId="5BBA55D0"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El nombre del Estado proviene de la denominación náhuatl Huãxyacac, impuesta por los conquistadores aztecas en el siglo XV, en el momento de </w:t>
      </w:r>
      <w:r w:rsidRPr="00FD2DE6">
        <w:rPr>
          <w:rFonts w:ascii="Montserrat" w:eastAsia="Times New Roman" w:hAnsi="Montserrat" w:cs="Arial"/>
        </w:rPr>
        <w:lastRenderedPageBreak/>
        <w:t>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FD2DE6" w:rsidRDefault="00B0059B" w:rsidP="00B0059B">
      <w:pPr>
        <w:tabs>
          <w:tab w:val="left" w:pos="7260"/>
        </w:tabs>
        <w:jc w:val="both"/>
        <w:rPr>
          <w:rFonts w:ascii="Montserrat" w:eastAsia="Times New Roman" w:hAnsi="Montserrat" w:cs="Arial"/>
        </w:rPr>
      </w:pPr>
    </w:p>
    <w:p w14:paraId="0527C09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FD2DE6" w:rsidRDefault="00B0059B" w:rsidP="00B0059B">
      <w:pPr>
        <w:tabs>
          <w:tab w:val="left" w:pos="7260"/>
        </w:tabs>
        <w:jc w:val="both"/>
        <w:rPr>
          <w:rFonts w:ascii="Montserrat" w:eastAsia="Times New Roman" w:hAnsi="Montserrat" w:cs="Arial"/>
        </w:rPr>
      </w:pPr>
    </w:p>
    <w:p w14:paraId="76DC4A5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FD2DE6" w:rsidRDefault="00B0059B" w:rsidP="00B0059B">
      <w:pPr>
        <w:tabs>
          <w:tab w:val="left" w:pos="7260"/>
        </w:tabs>
        <w:jc w:val="both"/>
        <w:rPr>
          <w:rFonts w:ascii="Montserrat" w:eastAsia="Times New Roman" w:hAnsi="Montserrat" w:cs="Arial"/>
        </w:rPr>
      </w:pPr>
    </w:p>
    <w:p w14:paraId="5C162BF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FD2DE6" w:rsidRDefault="00B0059B" w:rsidP="00B0059B">
      <w:pPr>
        <w:tabs>
          <w:tab w:val="left" w:pos="7260"/>
        </w:tabs>
        <w:jc w:val="both"/>
        <w:rPr>
          <w:rFonts w:ascii="Montserrat" w:eastAsia="Times New Roman" w:hAnsi="Montserrat" w:cs="Arial"/>
        </w:rPr>
      </w:pPr>
    </w:p>
    <w:p w14:paraId="16C3CE0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FD2DE6">
        <w:rPr>
          <w:rFonts w:ascii="Montserrat" w:hAnsi="Montserrat"/>
        </w:rPr>
        <w:t xml:space="preserve"> T</w:t>
      </w:r>
      <w:r w:rsidRPr="00FD2DE6">
        <w:rPr>
          <w:rFonts w:ascii="Montserrat" w:eastAsia="Times New Roman" w:hAnsi="Montserrat" w:cs="Arial"/>
        </w:rPr>
        <w:t>oledo, Rodolfo Morales, Alfredo Canseco Feraud y Macedonio Alcalá, además de mujeres como Teodora Blanco.</w:t>
      </w:r>
    </w:p>
    <w:p w14:paraId="70C2D6A6" w14:textId="77777777" w:rsidR="00B0059B" w:rsidRPr="00FD2DE6" w:rsidRDefault="00B0059B" w:rsidP="00B0059B">
      <w:pPr>
        <w:tabs>
          <w:tab w:val="left" w:pos="7260"/>
        </w:tabs>
        <w:jc w:val="both"/>
        <w:rPr>
          <w:rFonts w:ascii="Montserrat" w:eastAsia="Times New Roman" w:hAnsi="Montserrat" w:cs="Arial"/>
        </w:rPr>
      </w:pPr>
    </w:p>
    <w:p w14:paraId="7DB199C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w:t>
      </w:r>
      <w:r w:rsidRPr="00FD2DE6">
        <w:rPr>
          <w:rFonts w:ascii="Montserrat" w:eastAsia="Times New Roman" w:hAnsi="Montserrat" w:cs="Arial"/>
        </w:rPr>
        <w:lastRenderedPageBreak/>
        <w:t>fecha 29 de octubre de 1990 que "El Estado de Oaxaca es parte integrante de los Estados Unidos Mexicanos y es libre y soberano en todo lo que concierne a su régimen interior."</w:t>
      </w:r>
    </w:p>
    <w:p w14:paraId="21659B0C" w14:textId="77777777" w:rsidR="00B0059B" w:rsidRPr="00FD2DE6" w:rsidRDefault="00B0059B" w:rsidP="00B0059B">
      <w:pPr>
        <w:tabs>
          <w:tab w:val="left" w:pos="7260"/>
        </w:tabs>
        <w:jc w:val="both"/>
        <w:rPr>
          <w:rFonts w:ascii="Montserrat" w:eastAsia="Times New Roman" w:hAnsi="Montserrat" w:cs="Arial"/>
        </w:rPr>
      </w:pPr>
    </w:p>
    <w:p w14:paraId="51F9EBE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7BDC073B" w14:textId="77777777" w:rsidR="00B0059B" w:rsidRPr="00FD2DE6" w:rsidRDefault="00B0059B" w:rsidP="00B0059B">
      <w:pPr>
        <w:tabs>
          <w:tab w:val="left" w:pos="7260"/>
        </w:tabs>
        <w:jc w:val="both"/>
        <w:rPr>
          <w:rFonts w:ascii="Montserrat" w:eastAsia="Times New Roman" w:hAnsi="Montserrat" w:cs="Arial"/>
        </w:rPr>
      </w:pPr>
    </w:p>
    <w:p w14:paraId="430E6E7A" w14:textId="77777777" w:rsidR="00B0059B" w:rsidRPr="00FD2DE6"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Principales cambios en la estructura del Gobierno del Estado de Oaxaca.</w:t>
      </w:r>
    </w:p>
    <w:p w14:paraId="1BB10488" w14:textId="5540A8D8" w:rsidR="00B0059B" w:rsidRPr="00FD2DE6" w:rsidRDefault="00B0059B" w:rsidP="00B0059B">
      <w:pPr>
        <w:tabs>
          <w:tab w:val="left" w:pos="7260"/>
        </w:tabs>
        <w:jc w:val="both"/>
        <w:rPr>
          <w:rFonts w:ascii="Montserrat" w:eastAsia="Times New Roman" w:hAnsi="Montserrat" w:cs="Calibri"/>
          <w:bCs/>
          <w:lang w:eastAsia="es-ES"/>
        </w:rPr>
      </w:pPr>
      <w:r w:rsidRPr="00FD2DE6">
        <w:rPr>
          <w:rFonts w:ascii="Montserrat" w:eastAsia="Times New Roman" w:hAnsi="Montserrat" w:cs="Arial"/>
        </w:rPr>
        <w:t>Al inicio de la presente administración el Poder Ejecutivo del Gobierno del Estado de Oaxaca se conformaba por 2</w:t>
      </w:r>
      <w:r w:rsidR="003F0261" w:rsidRPr="00FD2DE6">
        <w:rPr>
          <w:rFonts w:ascii="Montserrat" w:eastAsia="Times New Roman" w:hAnsi="Montserrat" w:cs="Arial"/>
        </w:rPr>
        <w:t>2</w:t>
      </w:r>
      <w:r w:rsidRPr="00FD2DE6">
        <w:rPr>
          <w:rFonts w:ascii="Montserrat" w:eastAsia="Times New Roman" w:hAnsi="Montserrat" w:cs="Arial"/>
        </w:rPr>
        <w:t xml:space="preserve"> Dependencias de la Administración Pública Centralizada,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FD2DE6">
        <w:rPr>
          <w:rFonts w:ascii="Montserrat" w:eastAsia="Times New Roman" w:hAnsi="Montserrat" w:cs="Calibri"/>
          <w:bCs/>
          <w:lang w:eastAsia="es-ES"/>
        </w:rPr>
        <w:t xml:space="preserve">Secretaría de Gobierno, </w:t>
      </w:r>
      <w:r w:rsidRPr="00FD2DE6">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FD2DE6">
        <w:rPr>
          <w:rFonts w:ascii="Montserrat" w:eastAsia="Times New Roman" w:hAnsi="Montserrat" w:cs="Calibri"/>
          <w:bCs/>
          <w:lang w:eastAsia="es-ES"/>
        </w:rPr>
        <w:t>Consejería Jurídica y Asistencia Legal del Estado de Oaxaca; la Procuraduría para la Defensa del Trabajo y la Coordinación de Normatividad e Inspección del Trabajo</w:t>
      </w:r>
      <w:r w:rsidRPr="00FD2DE6">
        <w:rPr>
          <w:rFonts w:ascii="Montserrat" w:eastAsia="Times New Roman" w:hAnsi="Montserrat" w:cs="Arial"/>
        </w:rPr>
        <w:t xml:space="preserve"> transferidas a la Secretaría del Trabajo; y la </w:t>
      </w:r>
      <w:r w:rsidRPr="00FD2DE6">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FD2DE6" w:rsidRDefault="00B0059B" w:rsidP="00B0059B">
      <w:pPr>
        <w:tabs>
          <w:tab w:val="left" w:pos="7260"/>
        </w:tabs>
        <w:jc w:val="both"/>
        <w:rPr>
          <w:rFonts w:ascii="Montserrat" w:eastAsia="Times New Roman" w:hAnsi="Montserrat" w:cs="Arial"/>
        </w:rPr>
      </w:pPr>
    </w:p>
    <w:p w14:paraId="4A3D6AB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FD2DE6">
        <w:rPr>
          <w:rFonts w:ascii="Montserrat" w:eastAsia="Times New Roman" w:hAnsi="Montserrat" w:cs="Calibri"/>
          <w:bCs/>
          <w:lang w:eastAsia="es-ES"/>
        </w:rPr>
        <w:t>Secretaría de Bienestar, Tequio e Inclusión;</w:t>
      </w:r>
      <w:r w:rsidRPr="00FD2DE6">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a cargo de la Secretaría de Administración.</w:t>
      </w:r>
    </w:p>
    <w:p w14:paraId="3133A75A" w14:textId="77777777" w:rsidR="00B0059B" w:rsidRPr="00FD2DE6" w:rsidRDefault="00B0059B" w:rsidP="00B0059B">
      <w:pPr>
        <w:widowControl w:val="0"/>
        <w:jc w:val="both"/>
        <w:rPr>
          <w:rFonts w:ascii="Montserrat" w:hAnsi="Montserrat"/>
          <w:b/>
        </w:rPr>
      </w:pPr>
    </w:p>
    <w:p w14:paraId="25A7FC5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También, el Gobernador Constitucional propuso al Congreso del Estado la modificación de 15 nombres de Dependencias a fin de fortalecer su esencia en la encomienda de cada una.</w:t>
      </w:r>
    </w:p>
    <w:p w14:paraId="38895F5E" w14:textId="77777777" w:rsidR="00B0059B" w:rsidRPr="00FD2DE6" w:rsidRDefault="00B0059B" w:rsidP="00B0059B">
      <w:pPr>
        <w:tabs>
          <w:tab w:val="left" w:pos="7260"/>
        </w:tabs>
        <w:jc w:val="both"/>
        <w:rPr>
          <w:rFonts w:ascii="Montserrat" w:eastAsia="Times New Roman" w:hAnsi="Montserrat" w:cs="Arial"/>
        </w:rPr>
      </w:pPr>
    </w:p>
    <w:p w14:paraId="091C5BFD" w14:textId="1527585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Sumado a los cambios anteriores, durante el</w:t>
      </w:r>
      <w:r w:rsidR="009D6819" w:rsidRPr="00FD2DE6">
        <w:rPr>
          <w:rFonts w:ascii="Montserrat" w:eastAsia="Times New Roman" w:hAnsi="Montserrat" w:cs="Arial"/>
        </w:rPr>
        <w:t xml:space="preserve"> </w:t>
      </w:r>
      <w:r w:rsidR="00DE372D" w:rsidRPr="00FD2DE6">
        <w:rPr>
          <w:rFonts w:ascii="Montserrat" w:eastAsia="Times New Roman" w:hAnsi="Montserrat" w:cs="Arial"/>
        </w:rPr>
        <w:t xml:space="preserve">primer </w:t>
      </w:r>
      <w:r w:rsidRPr="00FD2DE6">
        <w:rPr>
          <w:rFonts w:ascii="Montserrat" w:eastAsia="Times New Roman" w:hAnsi="Montserrat" w:cs="Arial"/>
        </w:rPr>
        <w:t>trimestre del 2024, el Gobernador tuvo a bien dictar cambios el algunas dependencias y entidades, de acuerdo a lo siguiente:</w:t>
      </w:r>
    </w:p>
    <w:p w14:paraId="2001AD4A" w14:textId="77777777" w:rsidR="00B0059B" w:rsidRPr="00FD2DE6" w:rsidRDefault="00B0059B" w:rsidP="00B0059B">
      <w:pPr>
        <w:tabs>
          <w:tab w:val="left" w:pos="7260"/>
        </w:tabs>
        <w:jc w:val="both"/>
        <w:rPr>
          <w:rFonts w:ascii="Montserrat" w:eastAsia="Times New Roman" w:hAnsi="Montserrat" w:cs="Arial"/>
        </w:rPr>
      </w:pPr>
    </w:p>
    <w:p w14:paraId="7B61A215"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De la Administración Pública Centralizada se extinguieron las dependencias Jefatura de Gabinete y la Coordinación General de Educación Media Superior y Superior, Ciencia y Tecnología, cuyas funciones de esta última fueron absorbidas por la Secretaria de Educación Pública, quien también asume las funciones de las entidades extintas Comisión Estatal para la Planeación de la Educación Superior en el Estado de Oaxaca y la Comisión Estatal para la Planeación y Programación de la Educación Media Superior en el Estado de Oaxaca; la Secretaría de Gobierno del Estado absorbió las funciones de las entidades extintas Dirección General de Población y el Instituto de Atención Integral al Migrante Oaxaqueño; la Secretaria de Desarrollo Económico absorbió las funciones de las entidades extintas Instituto Oaxaqueño del Emprendedor y de la Competitividad y el Instituto para el Fomento y la Protección de las Artesanías.</w:t>
      </w:r>
    </w:p>
    <w:p w14:paraId="6B93F44A" w14:textId="77777777" w:rsidR="00B0059B" w:rsidRPr="00FD2DE6" w:rsidRDefault="00B0059B" w:rsidP="00B0059B">
      <w:pPr>
        <w:tabs>
          <w:tab w:val="left" w:pos="7260"/>
        </w:tabs>
        <w:jc w:val="both"/>
        <w:rPr>
          <w:rFonts w:ascii="Montserrat" w:eastAsia="Times New Roman" w:hAnsi="Montserrat" w:cs="Arial"/>
        </w:rPr>
      </w:pPr>
    </w:p>
    <w:p w14:paraId="260FB40B" w14:textId="490A85F8" w:rsidR="00B0059B" w:rsidRPr="00FD2DE6" w:rsidRDefault="00DE372D" w:rsidP="00B0059B">
      <w:pPr>
        <w:tabs>
          <w:tab w:val="left" w:pos="7260"/>
        </w:tabs>
        <w:jc w:val="both"/>
        <w:rPr>
          <w:rFonts w:ascii="Montserrat" w:eastAsia="Times New Roman" w:hAnsi="Montserrat" w:cs="Arial"/>
        </w:rPr>
      </w:pPr>
      <w:r w:rsidRPr="00FD2DE6">
        <w:rPr>
          <w:rFonts w:ascii="Montserrat" w:eastAsia="Times New Roman" w:hAnsi="Montserrat" w:cs="Arial"/>
        </w:rPr>
        <w:t>Asimismo,</w:t>
      </w:r>
      <w:r w:rsidR="00B0059B" w:rsidRPr="00FD2DE6">
        <w:rPr>
          <w:rFonts w:ascii="Montserrat" w:eastAsia="Times New Roman" w:hAnsi="Montserrat" w:cs="Arial"/>
        </w:rPr>
        <w:t xml:space="preserve"> el Gobernador emitió un decreto por el cual la Universidad Autónoma Comunal deja de ser un órgano autónomo para constituirse en entidad paraestatal.</w:t>
      </w:r>
    </w:p>
    <w:p w14:paraId="437AD8E5" w14:textId="77777777" w:rsidR="00B0059B" w:rsidRPr="00FD2DE6" w:rsidRDefault="00B0059B" w:rsidP="00B0059B">
      <w:pPr>
        <w:tabs>
          <w:tab w:val="left" w:pos="7260"/>
        </w:tabs>
        <w:jc w:val="both"/>
        <w:rPr>
          <w:rFonts w:ascii="Montserrat" w:eastAsia="Times New Roman" w:hAnsi="Montserrat" w:cs="Arial"/>
        </w:rPr>
      </w:pPr>
    </w:p>
    <w:p w14:paraId="123844AB" w14:textId="77777777" w:rsidR="00F129E5" w:rsidRDefault="00B0059B" w:rsidP="00F129E5">
      <w:pPr>
        <w:tabs>
          <w:tab w:val="left" w:pos="7260"/>
        </w:tabs>
        <w:jc w:val="both"/>
        <w:rPr>
          <w:rFonts w:ascii="Montserrat" w:eastAsia="Times New Roman" w:hAnsi="Montserrat" w:cs="Arial"/>
        </w:rPr>
      </w:pPr>
      <w:r w:rsidRPr="00FD2DE6">
        <w:rPr>
          <w:rFonts w:ascii="Montserrat" w:eastAsia="Times New Roman" w:hAnsi="Montserrat" w:cs="Arial"/>
        </w:rPr>
        <w:t>En total, en el primer trimestre del año 2024 se extinguieron 2 dependencias, 6 entidades y un órgano autónomo y se creó una entidad paraestatal</w:t>
      </w:r>
      <w:r w:rsidR="00A259CD">
        <w:rPr>
          <w:rFonts w:ascii="Montserrat" w:eastAsia="Times New Roman" w:hAnsi="Montserrat" w:cs="Arial"/>
        </w:rPr>
        <w:t>.</w:t>
      </w:r>
    </w:p>
    <w:p w14:paraId="3F8C2A2E" w14:textId="77777777" w:rsidR="00F129E5" w:rsidRDefault="00F129E5" w:rsidP="00F129E5">
      <w:pPr>
        <w:tabs>
          <w:tab w:val="left" w:pos="7260"/>
        </w:tabs>
        <w:jc w:val="both"/>
        <w:rPr>
          <w:rFonts w:ascii="Montserrat" w:eastAsia="Times New Roman" w:hAnsi="Montserrat" w:cs="Arial"/>
        </w:rPr>
      </w:pPr>
    </w:p>
    <w:p w14:paraId="17909BE1" w14:textId="77777777" w:rsidR="00F129E5" w:rsidRDefault="00F129E5" w:rsidP="00F129E5">
      <w:pPr>
        <w:tabs>
          <w:tab w:val="left" w:pos="7260"/>
        </w:tabs>
        <w:jc w:val="both"/>
        <w:rPr>
          <w:rFonts w:ascii="Montserrat" w:eastAsia="Times New Roman" w:hAnsi="Montserrat" w:cs="Arial"/>
        </w:rPr>
      </w:pPr>
    </w:p>
    <w:p w14:paraId="57589689" w14:textId="7F3B0DE2" w:rsidR="00B0059B" w:rsidRPr="00FD2DE6" w:rsidRDefault="00B0059B" w:rsidP="00F129E5">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Panorama Económico</w:t>
      </w:r>
    </w:p>
    <w:p w14:paraId="16BBB4BC" w14:textId="77777777" w:rsid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b/>
          <w:bCs/>
        </w:rPr>
        <w:t>Panorama Mundial</w:t>
      </w:r>
      <w:r w:rsidRPr="00A259CD">
        <w:rPr>
          <w:rFonts w:ascii="Montserrat" w:eastAsia="Times New Roman" w:hAnsi="Montserrat" w:cs="Arial"/>
        </w:rPr>
        <w:t xml:space="preserve">. La Organización para la Cooperación y desarrollo Económico (OCDE), en su publicación “Turning the Corner” fechado 25 de septiembre de 2024, manda un mensaje de optimismo al señalar que “La economía mundial está dando un giro a medida que la inflación disminuye y el crecimiento del comercio se fortalece”. Efectivamente, los bancos centrales mundiales, están muy preocupados en la estrategia de controlar </w:t>
      </w:r>
      <w:r w:rsidRPr="00A259CD">
        <w:rPr>
          <w:rFonts w:ascii="Montserrat" w:eastAsia="Times New Roman" w:hAnsi="Montserrat" w:cs="Arial"/>
        </w:rPr>
        <w:lastRenderedPageBreak/>
        <w:t>la inflación después del incremento de la tasa de referencia por el padecimiento del Covid 19.</w:t>
      </w:r>
    </w:p>
    <w:p w14:paraId="4F0D7BE9" w14:textId="0F9E6456" w:rsidR="00A259CD" w:rsidRDefault="00A259CD" w:rsidP="00F129E5">
      <w:pPr>
        <w:tabs>
          <w:tab w:val="left" w:pos="7260"/>
        </w:tabs>
        <w:spacing w:before="240" w:after="240"/>
        <w:jc w:val="both"/>
        <w:rPr>
          <w:rFonts w:ascii="Montserrat Medium" w:hAnsi="Montserrat Medium"/>
        </w:rPr>
      </w:pPr>
      <w:r w:rsidRPr="00A259CD">
        <w:rPr>
          <w:rFonts w:ascii="Montserrat" w:eastAsia="Times New Roman" w:hAnsi="Montserrat" w:cs="Arial"/>
        </w:rPr>
        <w:t xml:space="preserve"> La OCDE, según los indicadores de actividad de alta frecuencia de julio y agosto de manera general el crecimiento económico continúa, no a la velocidad esperada sino de manera lenta. Las encuestas empresariales están inclinándose más las actividades en los servicios que en los sectores manufactureros. Los indicadores de las encuestas sugieren que la confianza está mejorando en Europa y las economías de mercado emergentes. La inflación general ha seguido cayendo este año en la mayoría de los países del G20.</w:t>
      </w:r>
    </w:p>
    <w:p w14:paraId="53577222" w14:textId="77777777" w:rsidR="00A259CD" w:rsidRDefault="00A259CD" w:rsidP="00C32566">
      <w:pPr>
        <w:spacing w:before="240" w:after="240"/>
        <w:jc w:val="center"/>
        <w:rPr>
          <w:rFonts w:ascii="Montserrat Medium" w:hAnsi="Montserrat Medium"/>
        </w:rPr>
      </w:pPr>
      <w:r>
        <w:rPr>
          <w:noProof/>
          <w:lang w:val="es-MX"/>
        </w:rPr>
        <w:drawing>
          <wp:inline distT="0" distB="0" distL="0" distR="0" wp14:anchorId="5C758366" wp14:editId="058E0974">
            <wp:extent cx="5562600" cy="4175934"/>
            <wp:effectExtent l="0" t="0" r="0" b="0"/>
            <wp:docPr id="113110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0897" name=""/>
                    <pic:cNvPicPr/>
                  </pic:nvPicPr>
                  <pic:blipFill rotWithShape="1">
                    <a:blip r:embed="rId8"/>
                    <a:srcRect l="33944" t="22538" r="6822" b="6318"/>
                    <a:stretch/>
                  </pic:blipFill>
                  <pic:spPr bwMode="auto">
                    <a:xfrm>
                      <a:off x="0" y="0"/>
                      <a:ext cx="5608149" cy="4210128"/>
                    </a:xfrm>
                    <a:prstGeom prst="rect">
                      <a:avLst/>
                    </a:prstGeom>
                    <a:ln>
                      <a:noFill/>
                    </a:ln>
                    <a:extLst>
                      <a:ext uri="{53640926-AAD7-44D8-BBD7-CCE9431645EC}">
                        <a14:shadowObscured xmlns:a14="http://schemas.microsoft.com/office/drawing/2010/main"/>
                      </a:ext>
                    </a:extLst>
                  </pic:spPr>
                </pic:pic>
              </a:graphicData>
            </a:graphic>
          </wp:inline>
        </w:drawing>
      </w:r>
    </w:p>
    <w:p w14:paraId="5CC2700C"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A pesar de los conflictos geopolíticos, como la situación en el Mar Rojo, un punto crucial en la cadena de suministro mundial afectado por los ataques de las milicias hutíes en Yemen y el conflicto en Gaza. La OCDE, proyecta un crecimiento global de 3.2 % para 2024 y el mismo porcentaje para 2025. </w:t>
      </w:r>
      <w:r w:rsidRPr="00C32566">
        <w:rPr>
          <w:rFonts w:ascii="Montserrat" w:eastAsia="Times New Roman" w:hAnsi="Montserrat" w:cs="Arial"/>
        </w:rPr>
        <w:lastRenderedPageBreak/>
        <w:t>Para el Grupo de los 20, (G20) el crecimiento económico se prevé de 3.2 % en 2024 y 3.1 % para el 2025. (Cuadro anterior).</w:t>
      </w:r>
    </w:p>
    <w:p w14:paraId="2A515334"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En términos de inflación para el G20, la OCDE, estima que las medidas implementadas de política monetaria están dando resultado en muchos países, ya que se está observando un descenso de la inflación general de los países del G20, estima 5.4 % en 2024 y a un 3.3 % en 2025. Si se cumple lo previsto muchos países estarían logrando sus niveles objetivos. La inflación del año 2023 fue 6.1 %.</w:t>
      </w:r>
    </w:p>
    <w:p w14:paraId="0CF1B960"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b/>
          <w:bCs/>
        </w:rPr>
        <w:t>Banco Mundial</w:t>
      </w:r>
      <w:r w:rsidRPr="00C32566">
        <w:rPr>
          <w:rFonts w:ascii="Montserrat" w:eastAsia="Times New Roman" w:hAnsi="Montserrat" w:cs="Arial"/>
        </w:rPr>
        <w:t>, prevé que la economía mundial se estabilizará por primera vez en los últimos tres años durante 2024, aunque a un nivel débil en comparación con los parámetros históricos recientes.</w:t>
      </w:r>
    </w:p>
    <w:p w14:paraId="3061564B" w14:textId="7BE96F4D"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Se anticipa que el crecimiento mundial se mantendrá estable en un 2,6 % durante el año 2024, antes de aumentar poco a poco hasta alcanzar un promedio de 2</w:t>
      </w:r>
      <w:r w:rsidR="00C32566">
        <w:rPr>
          <w:rFonts w:ascii="Montserrat" w:eastAsia="Times New Roman" w:hAnsi="Montserrat" w:cs="Arial"/>
        </w:rPr>
        <w:t>.</w:t>
      </w:r>
      <w:r w:rsidRPr="00C32566">
        <w:rPr>
          <w:rFonts w:ascii="Montserrat" w:eastAsia="Times New Roman" w:hAnsi="Montserrat" w:cs="Arial"/>
        </w:rPr>
        <w:t>7 % en el período de 2025-26. Esta cifra es muy inferior al promedio del 3</w:t>
      </w:r>
      <w:r w:rsidR="00C32566">
        <w:rPr>
          <w:rFonts w:ascii="Montserrat" w:eastAsia="Times New Roman" w:hAnsi="Montserrat" w:cs="Arial"/>
        </w:rPr>
        <w:t>.</w:t>
      </w:r>
      <w:r w:rsidRPr="00C32566">
        <w:rPr>
          <w:rFonts w:ascii="Montserrat" w:eastAsia="Times New Roman" w:hAnsi="Montserrat" w:cs="Arial"/>
        </w:rPr>
        <w:t>1 % de la década anterior a la COVID-19. La previsión implica que, en el transcurso del período de 2024-26, los países que representan en conjunto más del 80 % de la población mundial y del PIB mundial seguirán creciendo a un ritmo más lento que durante la década anterior a la COVID-19.</w:t>
      </w:r>
    </w:p>
    <w:p w14:paraId="21383A7D" w14:textId="4C6D77B0"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Asimismo, se espera que la inflación mundial se modere hasta el 3</w:t>
      </w:r>
      <w:r w:rsidR="00C32566">
        <w:rPr>
          <w:rFonts w:ascii="Montserrat" w:eastAsia="Times New Roman" w:hAnsi="Montserrat" w:cs="Arial"/>
        </w:rPr>
        <w:t>.</w:t>
      </w:r>
      <w:r w:rsidRPr="00C32566">
        <w:rPr>
          <w:rFonts w:ascii="Montserrat" w:eastAsia="Times New Roman" w:hAnsi="Montserrat" w:cs="Arial"/>
        </w:rPr>
        <w:t>5 % en 2024 y el 2</w:t>
      </w:r>
      <w:r w:rsidR="00C32566">
        <w:rPr>
          <w:rFonts w:ascii="Montserrat" w:eastAsia="Times New Roman" w:hAnsi="Montserrat" w:cs="Arial"/>
        </w:rPr>
        <w:t>.</w:t>
      </w:r>
      <w:r w:rsidRPr="00C32566">
        <w:rPr>
          <w:rFonts w:ascii="Montserrat" w:eastAsia="Times New Roman" w:hAnsi="Montserrat" w:cs="Arial"/>
        </w:rPr>
        <w:t>9 % en 2025, pero el ritmo de descenso es más lento de lo previsto hace tan solo 6 meses. En consecuencia, se prevé que muchos bancos centrales adopten una actitud prudente con respecto a la reducción de la tasa de política monetaria. Es probable que las tasas de interés mundiales permanezcan en niveles elevados en comparación con las últimas décadas, con un promedio de alrededor del 4 % durante el período de 2025-26, aproximadamente el doble del promedio del período de 2000-19.</w:t>
      </w:r>
    </w:p>
    <w:p w14:paraId="05288C94"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Las dos opiniones difieren en sus datos en estimar la previsión del crecimiento económico mundial. En cierto modo, coinciden de que habrá crecimiento económico y un descenso en la inflación.</w:t>
      </w:r>
    </w:p>
    <w:p w14:paraId="7FA5C1F5"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“Cuatro años después de las conmociones causadas por la pandemia, los conflictos, la inflación y la restricción monetaria, parecería que el crecimiento económico mundial se estaría estabilizando”, dijo Indermit Gill, economista en jefe y vicepresidente sénior del Banco Mundial. “Sin </w:t>
      </w:r>
      <w:r w:rsidRPr="00C32566">
        <w:rPr>
          <w:rFonts w:ascii="Montserrat" w:eastAsia="Times New Roman" w:hAnsi="Montserrat" w:cs="Arial"/>
        </w:rPr>
        <w:lastRenderedPageBreak/>
        <w:t>embargo, el crecimiento se sitúa en niveles más bajos que antes del año 2020. Las perspectivas para las economías más pobres del mundo son aún más preocupantes. Tienen que afrontar niveles muy elevados de servicio de la deuda, posibilidades comerciales limitadas y fenómenos climáticos costosos. Las economías en desarrollo deberán buscar la manera de fomentar la inversión privada, reducir la deuda pública y mejorar la educación, la salud y la infraestructura básica. Las más pobres, en especial los 75 países elegibles para recibir asistencia en condiciones concesionarias por parte de la Asociación Internacional de Fomento, no podrán hacerlo sin la ayuda internacional”.</w:t>
      </w:r>
    </w:p>
    <w:p w14:paraId="150EDD0D" w14:textId="77777777" w:rsidR="00A259CD" w:rsidRPr="00C32566" w:rsidRDefault="00A259CD" w:rsidP="00C32566">
      <w:pPr>
        <w:tabs>
          <w:tab w:val="left" w:pos="7260"/>
        </w:tabs>
        <w:spacing w:before="240" w:after="240"/>
        <w:jc w:val="both"/>
        <w:rPr>
          <w:rFonts w:ascii="Montserrat" w:eastAsia="Times New Roman" w:hAnsi="Montserrat" w:cs="Arial"/>
          <w:b/>
          <w:bCs/>
        </w:rPr>
      </w:pPr>
      <w:r w:rsidRPr="00C32566">
        <w:rPr>
          <w:rFonts w:ascii="Montserrat" w:eastAsia="Times New Roman" w:hAnsi="Montserrat" w:cs="Arial"/>
          <w:b/>
          <w:bCs/>
        </w:rPr>
        <w:t xml:space="preserve">Estados Unidos. </w:t>
      </w:r>
    </w:p>
    <w:p w14:paraId="7642F7BD" w14:textId="0636E13E"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En un panorama económico mundial marcado por la incertidumbre generada a pesar de los conflictos geopolíticos, como la situación en el Mar Rojo, un punto crucial en la cadena de suministro mundial afectado por los ataques de las milicias hutíes en Yemen y el conflicto en Gaza, Así mismo el caso interminable de la invasión rusa a Ucrania.  Estados Unidos ha logrado mantener un ritmo de crecimiento sostenido, según los datos más recientes publicados por la Oficina de Análisis Económico del Departamento de Comercio. El producto interior bruto (PIB) de la primera economía mundial experimentó un repunte del 0</w:t>
      </w:r>
      <w:r w:rsidR="00C32566">
        <w:rPr>
          <w:rFonts w:ascii="Montserrat" w:eastAsia="Times New Roman" w:hAnsi="Montserrat" w:cs="Arial"/>
        </w:rPr>
        <w:t>.</w:t>
      </w:r>
      <w:r w:rsidRPr="00C32566">
        <w:rPr>
          <w:rFonts w:ascii="Montserrat" w:eastAsia="Times New Roman" w:hAnsi="Montserrat" w:cs="Arial"/>
        </w:rPr>
        <w:t xml:space="preserve">7% en el segundo trimestre del año, superando las expectativas del mercado y consolidando la tendencia de recuperación observada en los últimos meses. Queda un poco atrás la perspectiva que se tenía de la afectación del estadio recesivo de la economía estadounidense. </w:t>
      </w:r>
    </w:p>
    <w:p w14:paraId="0226FA76" w14:textId="7C39466A"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crecimiento del PIB durante el segundo trimestre, que se situó en el 3% en términos anualizados, representa una aceleración significativa con respecto al 1</w:t>
      </w:r>
      <w:r w:rsidR="00C32566">
        <w:rPr>
          <w:rFonts w:ascii="Montserrat" w:eastAsia="Times New Roman" w:hAnsi="Montserrat" w:cs="Arial"/>
        </w:rPr>
        <w:t>.</w:t>
      </w:r>
      <w:r w:rsidRPr="00C32566">
        <w:rPr>
          <w:rFonts w:ascii="Montserrat" w:eastAsia="Times New Roman" w:hAnsi="Montserrat" w:cs="Arial"/>
        </w:rPr>
        <w:t>6% registrado en los tres meses previos. Este repunte se explica, en gran medida, por el aumento de la inversión en inventarios y del consumo de los hogares, factores que han ejercido un efecto compensatorio frente a la desaceleración de la inversión fija residencial.</w:t>
      </w:r>
    </w:p>
    <w:p w14:paraId="2C632A74"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Los datos del PIB publicados por la Oficina de Análisis Económico del Departamento de Comercio evidencian que la economía estadounidense se encuentra en plena recuperación, consolidando un ritmo de crecimiento sólido pese a los desafíos y la incertidumbre que prevalecen en el escenario económico global.</w:t>
      </w:r>
    </w:p>
    <w:p w14:paraId="736076B6"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lastRenderedPageBreak/>
        <w:t>La inflación de Estados Unidos bajó a 2.2 por ciento interanual en agosto, frente a 2.5 por ciento de julio, según el índice PCE publicado hoy por el Departamento de Comercio, el preferido de la Reserva Federal que comenzó a reducir las tasas de interés.</w:t>
      </w:r>
    </w:p>
    <w:p w14:paraId="56B71B67"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objetivo de la Reserva Federal (FED) es desacelerar la inflación al 2.0 %.</w:t>
      </w:r>
    </w:p>
    <w:p w14:paraId="49A31EDA"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La estrategia de la FED de política monetaria de reducir la tasa de referencia le ha resultado positivamente ante la intención de llevar a la baja la inflación. </w:t>
      </w:r>
    </w:p>
    <w:p w14:paraId="11E36245"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18 de septiembre de 2024, la FED redujo la tasa de referencia en 50 puntos base (pb) quedando en el rango de 4.75 % a 5.0 %.</w:t>
      </w:r>
    </w:p>
    <w:p w14:paraId="5B3DB912"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b/>
          <w:bCs/>
        </w:rPr>
        <w:t>MÉXICO</w:t>
      </w:r>
      <w:r w:rsidRPr="00C32566">
        <w:rPr>
          <w:rFonts w:ascii="Montserrat" w:eastAsia="Times New Roman" w:hAnsi="Montserrat" w:cs="Arial"/>
        </w:rPr>
        <w:t>.</w:t>
      </w:r>
    </w:p>
    <w:p w14:paraId="69F1D6BB"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En México, las estimaciones de crecimiento han sido revisadas consistentemente a la baja. La OCDE, por ejemplo, redujo su proyección en 80 puntos base para 2024 (1.4%) y 2025 (1.2 por ciento).</w:t>
      </w:r>
    </w:p>
    <w:p w14:paraId="7DC7B30C"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La economía mexicana tiene un estancamiento generalizado, destacó recientemente el Instituto Mexicano de Ejecutivos de Finanzas (IMEF) al interpretar sus indicadores mensuales adelantados. </w:t>
      </w:r>
    </w:p>
    <w:p w14:paraId="712CE1DF"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“Los indicadores IMEF Manufacturero y No Manufacturero del mes de septiembre sugieren que el dinamismo de la economía transita por un bache generalizado”, el indicador Manufacturero se sitúa en el mes de septiembre en el nivel de 49.5 unidades y el No Manufacturero en 49.4 unidades, por consiguiente, dentro de la especificación del rango del IMEF, se encuentran en la zona de contracción (menor de 50 unidades)</w:t>
      </w:r>
    </w:p>
    <w:p w14:paraId="61E2146E" w14:textId="3C4F57AE"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En septiembre, el Indicador IMEF Manufacturero subió 0.9 puntos respecto al mes de agosto, situándose en 49.5 unidades. A pesar de su repunte, este se ha mantenido en zona de contracción (&lt;50) por seis meses consecutivos. “El Economista”</w:t>
      </w:r>
      <w:r w:rsidR="00C32566">
        <w:rPr>
          <w:rFonts w:ascii="Montserrat" w:eastAsia="Times New Roman" w:hAnsi="Montserrat" w:cs="Arial"/>
        </w:rPr>
        <w:t>.</w:t>
      </w:r>
    </w:p>
    <w:p w14:paraId="3936B9DF"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Para su medición, el Indicador IMEF varía en un intervalo de 0 a 100 puntos y el nivel de 50 puntos representa el umbral entre una expansión (mayor a 50) y una contracción (menor a 50), de la actividad económica.</w:t>
      </w:r>
    </w:p>
    <w:p w14:paraId="038567CC"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lastRenderedPageBreak/>
        <w:t>El IMEF expuso que, si bien estos indicadores se habían mantenido en zona de expansión por más de dos años, ya venían mostrando una disminución constante en los últimos meses, lo que insinuaba una desaceleración en el ritmo de crecimiento de los sectores servicios y comercio.</w:t>
      </w:r>
    </w:p>
    <w:p w14:paraId="2FEBB109"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“Los datos de este mes de septiembre pudieran estar marcando el inicio de una contracción de dichos sectores y, por lo tanto, la posibilidad de que la economía, en su conjunto, esté enfrentando una ligera caída hacia el cierre del tercer trimestre del año”, El IMEF.</w:t>
      </w:r>
    </w:p>
    <w:p w14:paraId="7FF37B62"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Así, el IMEF concluyó que el ritmo de crecimiento débil por el que se ha caracterizado la economía en los primeros dos trimestres de este año pareciera extenderse en el tercer trimestre.</w:t>
      </w:r>
    </w:p>
    <w:p w14:paraId="3AD16BFE"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“Al finalizar este año, la Organización para la Cooperación y el Desarrollo Económicos (OCDE) espera que se ubique en 1.4 por ciento, 0.8 puntos porcentuales menos sobre su estimación realizada en mayo.</w:t>
      </w:r>
    </w:p>
    <w:p w14:paraId="0F28BFD3"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En cuanto a la estimación de crecimiento económico para 2025, la OCDE informó también una baja de 0.8 puntos porcentuales, pasando de 2 por ciento, proyectada en el quinto mes, a 1.2 por ciento”.</w:t>
      </w:r>
    </w:p>
    <w:p w14:paraId="2953BF3F" w14:textId="77777777" w:rsidR="00A259CD" w:rsidRPr="00C32566" w:rsidRDefault="00293A6B" w:rsidP="00C32566">
      <w:pPr>
        <w:spacing w:before="240" w:after="240"/>
        <w:jc w:val="both"/>
        <w:rPr>
          <w:rFonts w:ascii="Montserrat" w:hAnsi="Montserrat"/>
        </w:rPr>
      </w:pPr>
      <w:hyperlink r:id="rId9" w:history="1">
        <w:r w:rsidR="00A259CD" w:rsidRPr="00C32566">
          <w:rPr>
            <w:rStyle w:val="Hipervnculo"/>
            <w:rFonts w:ascii="Montserrat" w:hAnsi="Montserrat"/>
          </w:rPr>
          <w:t>https://www.milenio.com/negocios/ocde-reduce-expectativa-crecimiento-mexico-2024</w:t>
        </w:r>
      </w:hyperlink>
    </w:p>
    <w:p w14:paraId="0CDC9334"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La perspectiva del PIB 2024, oscila en los porcentajes siguientes: </w:t>
      </w:r>
    </w:p>
    <w:p w14:paraId="0507F807" w14:textId="77777777" w:rsidR="00A259CD" w:rsidRPr="00C32566" w:rsidRDefault="00A259CD" w:rsidP="00C32566">
      <w:pPr>
        <w:tabs>
          <w:tab w:val="left" w:pos="7260"/>
        </w:tabs>
        <w:spacing w:before="240" w:after="240"/>
        <w:jc w:val="both"/>
        <w:rPr>
          <w:rFonts w:ascii="Montserrat" w:eastAsia="Times New Roman" w:hAnsi="Montserrat" w:cs="Arial"/>
        </w:rPr>
      </w:pPr>
    </w:p>
    <w:p w14:paraId="1DC2D89F" w14:textId="77777777" w:rsidR="00A259CD" w:rsidRPr="00C32566" w:rsidRDefault="00A259CD" w:rsidP="00C32566">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lastRenderedPageBreak/>
        <w:drawing>
          <wp:inline distT="0" distB="0" distL="0" distR="0" wp14:anchorId="3C4B2B60" wp14:editId="08DF55CF">
            <wp:extent cx="3562350" cy="3472918"/>
            <wp:effectExtent l="0" t="0" r="0" b="0"/>
            <wp:docPr id="389815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15728" name=""/>
                    <pic:cNvPicPr/>
                  </pic:nvPicPr>
                  <pic:blipFill rotWithShape="1">
                    <a:blip r:embed="rId10"/>
                    <a:srcRect l="20706" t="27202" r="38731" b="8124"/>
                    <a:stretch/>
                  </pic:blipFill>
                  <pic:spPr bwMode="auto">
                    <a:xfrm>
                      <a:off x="0" y="0"/>
                      <a:ext cx="3562350" cy="3472918"/>
                    </a:xfrm>
                    <a:prstGeom prst="rect">
                      <a:avLst/>
                    </a:prstGeom>
                    <a:ln>
                      <a:noFill/>
                    </a:ln>
                    <a:extLst>
                      <a:ext uri="{53640926-AAD7-44D8-BBD7-CCE9431645EC}">
                        <a14:shadowObscured xmlns:a14="http://schemas.microsoft.com/office/drawing/2010/main"/>
                      </a:ext>
                    </a:extLst>
                  </pic:spPr>
                </pic:pic>
              </a:graphicData>
            </a:graphic>
          </wp:inline>
        </w:drawing>
      </w:r>
    </w:p>
    <w:p w14:paraId="56FD0874"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El Producto Interno Bruto (PIB) de México, con datos del Instituto Nacional de Estadística y Geografía (INEGI) en el segundo trimestre 2024 y con series desestacionalizados, el PIB creció 1.0 % con respecto al trimestre del año 2023. (INEGI 30 de julio de 2024). </w:t>
      </w:r>
    </w:p>
    <w:p w14:paraId="0640DD53" w14:textId="77777777" w:rsidR="00A259CD" w:rsidRPr="00C32566" w:rsidRDefault="00A259CD" w:rsidP="00C32566">
      <w:pPr>
        <w:tabs>
          <w:tab w:val="left" w:pos="7260"/>
        </w:tabs>
        <w:spacing w:before="240"/>
        <w:jc w:val="center"/>
        <w:rPr>
          <w:rFonts w:ascii="Montserrat" w:eastAsia="Times New Roman" w:hAnsi="Montserrat" w:cs="Arial"/>
        </w:rPr>
      </w:pPr>
      <w:r w:rsidRPr="00C32566">
        <w:rPr>
          <w:rFonts w:ascii="Montserrat" w:eastAsia="Times New Roman" w:hAnsi="Montserrat" w:cs="Arial"/>
          <w:noProof/>
          <w:lang w:val="es-MX"/>
        </w:rPr>
        <w:drawing>
          <wp:inline distT="0" distB="0" distL="0" distR="0" wp14:anchorId="69EC8AD2" wp14:editId="32969C97">
            <wp:extent cx="5523560" cy="2628900"/>
            <wp:effectExtent l="0" t="0" r="1270" b="0"/>
            <wp:docPr id="1583511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11108" name=""/>
                    <pic:cNvPicPr/>
                  </pic:nvPicPr>
                  <pic:blipFill rotWithShape="1">
                    <a:blip r:embed="rId11"/>
                    <a:srcRect l="28004" t="53222" r="28207" b="13434"/>
                    <a:stretch/>
                  </pic:blipFill>
                  <pic:spPr bwMode="auto">
                    <a:xfrm>
                      <a:off x="0" y="0"/>
                      <a:ext cx="5594897" cy="2662852"/>
                    </a:xfrm>
                    <a:prstGeom prst="rect">
                      <a:avLst/>
                    </a:prstGeom>
                    <a:ln>
                      <a:noFill/>
                    </a:ln>
                    <a:extLst>
                      <a:ext uri="{53640926-AAD7-44D8-BBD7-CCE9431645EC}">
                        <a14:shadowObscured xmlns:a14="http://schemas.microsoft.com/office/drawing/2010/main"/>
                      </a:ext>
                    </a:extLst>
                  </pic:spPr>
                </pic:pic>
              </a:graphicData>
            </a:graphic>
          </wp:inline>
        </w:drawing>
      </w:r>
    </w:p>
    <w:p w14:paraId="017768BC" w14:textId="77777777" w:rsidR="00A259CD" w:rsidRPr="00C32566" w:rsidRDefault="00A259CD" w:rsidP="00C32566">
      <w:pPr>
        <w:tabs>
          <w:tab w:val="left" w:pos="7260"/>
        </w:tabs>
        <w:spacing w:after="240"/>
        <w:jc w:val="both"/>
        <w:rPr>
          <w:rFonts w:ascii="Montserrat" w:eastAsia="Times New Roman" w:hAnsi="Montserrat" w:cs="Arial"/>
          <w:sz w:val="22"/>
          <w:szCs w:val="22"/>
        </w:rPr>
      </w:pPr>
      <w:r w:rsidRPr="00C32566">
        <w:rPr>
          <w:rFonts w:ascii="Montserrat" w:eastAsia="Times New Roman" w:hAnsi="Montserrat" w:cs="Arial"/>
          <w:sz w:val="22"/>
          <w:szCs w:val="22"/>
        </w:rPr>
        <w:t>Fuente: INEGI</w:t>
      </w:r>
    </w:p>
    <w:p w14:paraId="5CF9B4E2"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lastRenderedPageBreak/>
        <w:t>La economía mexicana en los primeros 6 meses del año 2024, presenta en términos del lenguaje económico una desaceleración. Si continúa en este ritmo el objetivo de la SHCP se verá lejos que se logre.</w:t>
      </w:r>
    </w:p>
    <w:p w14:paraId="729D31F8"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La Secretaría de Hacienda y Crédito Público (SHCP), en términos presupuestales, da a conocer la perspectiva relacionada con el PIB en una tasa de 3.0 %.</w:t>
      </w:r>
    </w:p>
    <w:p w14:paraId="1392E3AB"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El Producto Interno Bruto Trimestral, en cifras desestacionalizada, en millones de pesos de 2018, para el segundo trimestre de 2024, asciende a 25,266,808.8 pesos. </w:t>
      </w:r>
    </w:p>
    <w:p w14:paraId="0534D23E"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Banco Mundial sustenta el cambio de opinión sobre el porcentaje porcentual del crecimiento económico de México, es debido por la lentitud de respuesta hacia inversión extranjera motivada por el proyecto de oportunidad de la relocalización de empresas llamada nearshoring puntualizando las dudas sobre la disponibilidad de agua y energía.</w:t>
      </w:r>
    </w:p>
    <w:p w14:paraId="56725410"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BM tiene presente que México es privilegiado desde el momento de la cercanía con los Estados Unidos. Esta condición geográfica le resulta altamente favorable para atraer las empresas que tienen planes de emigrar y mantenerse en la cercanía del mercado más grande del mundo. </w:t>
      </w:r>
    </w:p>
    <w:p w14:paraId="7B0FC4D9" w14:textId="77777777" w:rsidR="00A259CD" w:rsidRPr="00F377B8" w:rsidRDefault="00A259CD" w:rsidP="00C32566">
      <w:pPr>
        <w:tabs>
          <w:tab w:val="left" w:pos="7260"/>
        </w:tabs>
        <w:spacing w:before="240" w:after="240"/>
        <w:jc w:val="both"/>
        <w:rPr>
          <w:rFonts w:ascii="Montserrat" w:eastAsia="Times New Roman" w:hAnsi="Montserrat" w:cs="Arial"/>
          <w:b/>
          <w:bCs/>
        </w:rPr>
      </w:pPr>
      <w:r w:rsidRPr="00F377B8">
        <w:rPr>
          <w:rFonts w:ascii="Montserrat" w:eastAsia="Times New Roman" w:hAnsi="Montserrat" w:cs="Arial"/>
          <w:b/>
          <w:bCs/>
        </w:rPr>
        <w:t xml:space="preserve">INFLACIÓN </w:t>
      </w:r>
    </w:p>
    <w:p w14:paraId="26FFAD46"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Instituto Nacional de Estadística y Geografía (INEGI), reporta la inflación anual al cierre del mes de septiembre de 2024, de 4.58 %. El Banco de México (Banxico), apegado a la estrategia de controlar la inflación cuyo medio a través de la tasa de referencia, como lo indica la política monetaria, que después de la aplicación de un ajuste a la baja de 25 puntos base (pb) se mantiene en el nivel de 10.50 % (26-09-2024), sigue en una observación muy alta. El propósito de Banxico es llevar a la inflación en los niveles de +/- 1 de 3.0 %. Los últimos cuatro meses del año ha repuntado la inflación, después de observarse con una tendencia a la baja al inicio del año.</w:t>
      </w:r>
    </w:p>
    <w:p w14:paraId="39A71465" w14:textId="77777777" w:rsidR="00A259CD" w:rsidRPr="00C32566" w:rsidRDefault="00A259CD" w:rsidP="00F377B8">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lastRenderedPageBreak/>
        <w:drawing>
          <wp:inline distT="0" distB="0" distL="0" distR="0" wp14:anchorId="570221D3" wp14:editId="07D874BF">
            <wp:extent cx="5591175" cy="3765564"/>
            <wp:effectExtent l="0" t="0" r="0" b="6350"/>
            <wp:docPr id="1202196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96527" name=""/>
                    <pic:cNvPicPr/>
                  </pic:nvPicPr>
                  <pic:blipFill rotWithShape="1">
                    <a:blip r:embed="rId12"/>
                    <a:srcRect l="33945" t="17922" r="18427" b="30756"/>
                    <a:stretch/>
                  </pic:blipFill>
                  <pic:spPr bwMode="auto">
                    <a:xfrm>
                      <a:off x="0" y="0"/>
                      <a:ext cx="5617447" cy="3783258"/>
                    </a:xfrm>
                    <a:prstGeom prst="rect">
                      <a:avLst/>
                    </a:prstGeom>
                    <a:ln>
                      <a:noFill/>
                    </a:ln>
                    <a:extLst>
                      <a:ext uri="{53640926-AAD7-44D8-BBD7-CCE9431645EC}">
                        <a14:shadowObscured xmlns:a14="http://schemas.microsoft.com/office/drawing/2010/main"/>
                      </a:ext>
                    </a:extLst>
                  </pic:spPr>
                </pic:pic>
              </a:graphicData>
            </a:graphic>
          </wp:inline>
        </w:drawing>
      </w:r>
    </w:p>
    <w:p w14:paraId="59C648D9"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Trabajadores Asegurados en el Instituto Mexicano del Seguro Social (IMSS).  </w:t>
      </w:r>
    </w:p>
    <w:p w14:paraId="26E584BA"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Con información de la Secretaría del Trabajo y Prevención Social, (STYPS), el número de trabajadores asegurados en el IMSS al mes de agosto de 2024, fue de 22,480,803 trabajadores. El 86.61 % son de la categoría de permanentes, Urbanos 12.47 % y Del campo 0.92 %. En números absolutos se generaron 347,396 puestos de trabajo de enero a septiembre de 2024, que corresponden porcentualmente el 1.54 % del total de asegurados en el IMSS hasta el mes de septiembre de 2024. Durante el mes de septiembre de 2024, se generaron 90,968 puestos de trabajo. </w:t>
      </w:r>
    </w:p>
    <w:p w14:paraId="4E218985"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La misma dependencia oficial reporta pérdida considerable de empleos formales en los meses de mayo y junio de 2024, de 25,203 y 29,555 empleos respetivamente. Para el primer semestre de 2024, se ha visto frenada la contratación de trabajadores.</w:t>
      </w:r>
    </w:p>
    <w:p w14:paraId="77A584C3"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El reporte del análisis del índice del empleo aporta información de mucha significación que ayuda entender el comportamiento del crecimiento </w:t>
      </w:r>
      <w:r w:rsidRPr="00C32566">
        <w:rPr>
          <w:rFonts w:ascii="Montserrat" w:eastAsia="Times New Roman" w:hAnsi="Montserrat" w:cs="Arial"/>
        </w:rPr>
        <w:lastRenderedPageBreak/>
        <w:t>económico. Así mismo, es necesario comentar que se observa durante el tercer trimestre de 2024 una desaceleración de la actividad de la economía.</w:t>
      </w:r>
    </w:p>
    <w:p w14:paraId="23E317B1"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Inversión Extranjera Directa (IED) en México.</w:t>
      </w:r>
    </w:p>
    <w:p w14:paraId="5A1095AD" w14:textId="3231DEFF"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Tres momentos sexenales relacionados con la Inversión </w:t>
      </w:r>
      <w:r w:rsidR="00F377B8" w:rsidRPr="00C32566">
        <w:rPr>
          <w:rFonts w:ascii="Montserrat" w:eastAsia="Times New Roman" w:hAnsi="Montserrat" w:cs="Arial"/>
        </w:rPr>
        <w:t>Extranjera</w:t>
      </w:r>
      <w:r w:rsidRPr="00C32566">
        <w:rPr>
          <w:rFonts w:ascii="Montserrat" w:eastAsia="Times New Roman" w:hAnsi="Montserrat" w:cs="Arial"/>
        </w:rPr>
        <w:t xml:space="preserve"> Directa (IED) con los tres últimos Presidentes de México.</w:t>
      </w:r>
    </w:p>
    <w:p w14:paraId="494AE66A"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En sexenio de Andrés Manuel López Obrados, mejoró la captación de inversores extranjeros con el objetivo de invertir en empresas nacionales. El proyecto nearshoring, jugó un papel importante en ese apetito del riesgo de la inversión. </w:t>
      </w:r>
    </w:p>
    <w:p w14:paraId="59763ECF"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drawing>
          <wp:inline distT="0" distB="0" distL="0" distR="0" wp14:anchorId="160375BE" wp14:editId="75A12418">
            <wp:extent cx="5505214" cy="3048000"/>
            <wp:effectExtent l="0" t="0" r="635" b="0"/>
            <wp:docPr id="2134740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40317" name=""/>
                    <pic:cNvPicPr/>
                  </pic:nvPicPr>
                  <pic:blipFill rotWithShape="1">
                    <a:blip r:embed="rId13"/>
                    <a:srcRect l="13917" t="23353" r="15271" b="13921"/>
                    <a:stretch/>
                  </pic:blipFill>
                  <pic:spPr bwMode="auto">
                    <a:xfrm>
                      <a:off x="0" y="0"/>
                      <a:ext cx="5507477" cy="3049253"/>
                    </a:xfrm>
                    <a:prstGeom prst="rect">
                      <a:avLst/>
                    </a:prstGeom>
                    <a:ln>
                      <a:noFill/>
                    </a:ln>
                    <a:extLst>
                      <a:ext uri="{53640926-AAD7-44D8-BBD7-CCE9431645EC}">
                        <a14:shadowObscured xmlns:a14="http://schemas.microsoft.com/office/drawing/2010/main"/>
                      </a:ext>
                    </a:extLst>
                  </pic:spPr>
                </pic:pic>
              </a:graphicData>
            </a:graphic>
          </wp:inline>
        </w:drawing>
      </w:r>
    </w:p>
    <w:p w14:paraId="28545DEC"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La comparación de captación de IED, segundos trimestres de los años 2012-2024, se observa el dato máximo histórico de 31,096 mmdd, en periodo del Presidente Andrés Manuel López Obrador. Incremento de 7.0 % con respecto al segundo trimestre de 2023.</w:t>
      </w:r>
    </w:p>
    <w:p w14:paraId="47A3EE97"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lastRenderedPageBreak/>
        <w:drawing>
          <wp:inline distT="0" distB="0" distL="0" distR="0" wp14:anchorId="3710D509" wp14:editId="3BC60940">
            <wp:extent cx="4800600" cy="2698146"/>
            <wp:effectExtent l="0" t="0" r="0" b="6985"/>
            <wp:docPr id="1269541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1552" name=""/>
                    <pic:cNvPicPr/>
                  </pic:nvPicPr>
                  <pic:blipFill rotWithShape="1">
                    <a:blip r:embed="rId14"/>
                    <a:srcRect l="14427" t="28511" r="15817" b="8763"/>
                    <a:stretch/>
                  </pic:blipFill>
                  <pic:spPr bwMode="auto">
                    <a:xfrm>
                      <a:off x="0" y="0"/>
                      <a:ext cx="4836663" cy="2718415"/>
                    </a:xfrm>
                    <a:prstGeom prst="rect">
                      <a:avLst/>
                    </a:prstGeom>
                    <a:ln>
                      <a:noFill/>
                    </a:ln>
                    <a:extLst>
                      <a:ext uri="{53640926-AAD7-44D8-BBD7-CCE9431645EC}">
                        <a14:shadowObscured xmlns:a14="http://schemas.microsoft.com/office/drawing/2010/main"/>
                      </a:ext>
                    </a:extLst>
                  </pic:spPr>
                </pic:pic>
              </a:graphicData>
            </a:graphic>
          </wp:inline>
        </w:drawing>
      </w:r>
    </w:p>
    <w:p w14:paraId="14AF4189"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cuadro siguiente describe la comparación de la inversión extranjera en México durante el segundo trimestre de los años 2023 y 2024. La relación Reinversión de Utilidades con respecto a Nuevas Inversiones, la diferencia es muy pronunciada en los dos años de análisis.</w:t>
      </w:r>
    </w:p>
    <w:p w14:paraId="2271E5E2"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drawing>
          <wp:inline distT="0" distB="0" distL="0" distR="0" wp14:anchorId="1CAEA597" wp14:editId="3A30F538">
            <wp:extent cx="4714875" cy="2613062"/>
            <wp:effectExtent l="0" t="0" r="0" b="0"/>
            <wp:docPr id="1893845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45945" name=""/>
                    <pic:cNvPicPr/>
                  </pic:nvPicPr>
                  <pic:blipFill rotWithShape="1">
                    <a:blip r:embed="rId15"/>
                    <a:srcRect l="14257" t="21451" r="15309" b="16094"/>
                    <a:stretch/>
                  </pic:blipFill>
                  <pic:spPr bwMode="auto">
                    <a:xfrm>
                      <a:off x="0" y="0"/>
                      <a:ext cx="4748231" cy="2631548"/>
                    </a:xfrm>
                    <a:prstGeom prst="rect">
                      <a:avLst/>
                    </a:prstGeom>
                    <a:ln>
                      <a:noFill/>
                    </a:ln>
                    <a:extLst>
                      <a:ext uri="{53640926-AAD7-44D8-BBD7-CCE9431645EC}">
                        <a14:shadowObscured xmlns:a14="http://schemas.microsoft.com/office/drawing/2010/main"/>
                      </a:ext>
                    </a:extLst>
                  </pic:spPr>
                </pic:pic>
              </a:graphicData>
            </a:graphic>
          </wp:inline>
        </w:drawing>
      </w:r>
    </w:p>
    <w:p w14:paraId="65EE2170"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Los 10 países con inversión en México concentran el 90 % de la IED. Los EE. UU, participa con el mayor porcentaje dentro con 44 %, con una inversión de sus operaciones en 13,717 mdd. Principal socio.</w:t>
      </w:r>
    </w:p>
    <w:p w14:paraId="7B85B1BB"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lastRenderedPageBreak/>
        <w:drawing>
          <wp:inline distT="0" distB="0" distL="0" distR="0" wp14:anchorId="4956F183" wp14:editId="2BB72736">
            <wp:extent cx="2887625" cy="2905125"/>
            <wp:effectExtent l="0" t="0" r="8255" b="0"/>
            <wp:docPr id="57099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9667" name=""/>
                    <pic:cNvPicPr/>
                  </pic:nvPicPr>
                  <pic:blipFill rotWithShape="1">
                    <a:blip r:embed="rId16"/>
                    <a:srcRect l="13917" t="40188" r="58079" b="14736"/>
                    <a:stretch/>
                  </pic:blipFill>
                  <pic:spPr bwMode="auto">
                    <a:xfrm>
                      <a:off x="0" y="0"/>
                      <a:ext cx="2925470" cy="2943199"/>
                    </a:xfrm>
                    <a:prstGeom prst="rect">
                      <a:avLst/>
                    </a:prstGeom>
                    <a:ln>
                      <a:noFill/>
                    </a:ln>
                    <a:extLst>
                      <a:ext uri="{53640926-AAD7-44D8-BBD7-CCE9431645EC}">
                        <a14:shadowObscured xmlns:a14="http://schemas.microsoft.com/office/drawing/2010/main"/>
                      </a:ext>
                    </a:extLst>
                  </pic:spPr>
                </pic:pic>
              </a:graphicData>
            </a:graphic>
          </wp:inline>
        </w:drawing>
      </w:r>
    </w:p>
    <w:p w14:paraId="3956EBD5" w14:textId="77777777" w:rsidR="00F129E5" w:rsidRDefault="00F129E5" w:rsidP="00C32566">
      <w:pPr>
        <w:tabs>
          <w:tab w:val="left" w:pos="7260"/>
        </w:tabs>
        <w:spacing w:before="240" w:after="240"/>
        <w:jc w:val="both"/>
        <w:rPr>
          <w:rFonts w:ascii="Montserrat" w:eastAsia="Times New Roman" w:hAnsi="Montserrat" w:cs="Arial"/>
        </w:rPr>
      </w:pPr>
    </w:p>
    <w:p w14:paraId="4E14FC60" w14:textId="7AEB8B96"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La distribución de la captación por las entidades federativas de la IED durante el segundo trimestre de 2024, se concentra en la Ciudad de México, cuando la lógica del efecto nearshorin sería en la región norte del país.</w:t>
      </w:r>
    </w:p>
    <w:p w14:paraId="50EDB578"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drawing>
          <wp:inline distT="0" distB="0" distL="0" distR="0" wp14:anchorId="5AEC462F" wp14:editId="14C3BF7D">
            <wp:extent cx="2705805" cy="2752725"/>
            <wp:effectExtent l="0" t="0" r="0" b="0"/>
            <wp:docPr id="31860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0584" name=""/>
                    <pic:cNvPicPr/>
                  </pic:nvPicPr>
                  <pic:blipFill rotWithShape="1">
                    <a:blip r:embed="rId17"/>
                    <a:srcRect l="14426" t="36386" r="56212" b="15822"/>
                    <a:stretch/>
                  </pic:blipFill>
                  <pic:spPr bwMode="auto">
                    <a:xfrm>
                      <a:off x="0" y="0"/>
                      <a:ext cx="2731594" cy="2778961"/>
                    </a:xfrm>
                    <a:prstGeom prst="rect">
                      <a:avLst/>
                    </a:prstGeom>
                    <a:ln>
                      <a:noFill/>
                    </a:ln>
                    <a:extLst>
                      <a:ext uri="{53640926-AAD7-44D8-BBD7-CCE9431645EC}">
                        <a14:shadowObscured xmlns:a14="http://schemas.microsoft.com/office/drawing/2010/main"/>
                      </a:ext>
                    </a:extLst>
                  </pic:spPr>
                </pic:pic>
              </a:graphicData>
            </a:graphic>
          </wp:inline>
        </w:drawing>
      </w:r>
    </w:p>
    <w:p w14:paraId="45DFE15A" w14:textId="349DE6E9"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lastRenderedPageBreak/>
        <w:t xml:space="preserve"> La IED en México se aplica el mayor porcentaje en el Sector Manufacturero en un monto de 16,653 mdd, representado por el 54 % y en el segundo lugar el Sector de Servicios Financieros con una inversión de 4,797 mdd, con el 15.0 %.</w:t>
      </w:r>
    </w:p>
    <w:p w14:paraId="38D5260B"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Con esta muestra nos puede dar idea de la concertación de las nuevas inversiones se irán a canalizar al Sector de la Manufactura. </w:t>
      </w:r>
    </w:p>
    <w:p w14:paraId="6421407F"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La distribución como se observa de la IED, los demás sectores de la producción también son importantes dependiendo de la especialidad de los inversores extranjeros.</w:t>
      </w:r>
    </w:p>
    <w:p w14:paraId="1E26075D"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drawing>
          <wp:inline distT="0" distB="0" distL="0" distR="0" wp14:anchorId="76B13BCB" wp14:editId="084FC346">
            <wp:extent cx="5600700" cy="3104002"/>
            <wp:effectExtent l="0" t="0" r="0" b="1270"/>
            <wp:docPr id="58295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900" name=""/>
                    <pic:cNvPicPr/>
                  </pic:nvPicPr>
                  <pic:blipFill rotWithShape="1">
                    <a:blip r:embed="rId18"/>
                    <a:srcRect l="14257" t="31769" r="15308" b="5776"/>
                    <a:stretch/>
                  </pic:blipFill>
                  <pic:spPr bwMode="auto">
                    <a:xfrm>
                      <a:off x="0" y="0"/>
                      <a:ext cx="5621000" cy="3115252"/>
                    </a:xfrm>
                    <a:prstGeom prst="rect">
                      <a:avLst/>
                    </a:prstGeom>
                    <a:ln>
                      <a:noFill/>
                    </a:ln>
                    <a:extLst>
                      <a:ext uri="{53640926-AAD7-44D8-BBD7-CCE9431645EC}">
                        <a14:shadowObscured xmlns:a14="http://schemas.microsoft.com/office/drawing/2010/main"/>
                      </a:ext>
                    </a:extLst>
                  </pic:spPr>
                </pic:pic>
              </a:graphicData>
            </a:graphic>
          </wp:inline>
        </w:drawing>
      </w:r>
    </w:p>
    <w:p w14:paraId="5FC034BA" w14:textId="28B04632"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 </w:t>
      </w:r>
      <w:r w:rsidRPr="001407B5">
        <w:rPr>
          <w:rFonts w:ascii="Montserrat" w:eastAsia="Times New Roman" w:hAnsi="Montserrat" w:cs="Arial"/>
          <w:b/>
          <w:bCs/>
        </w:rPr>
        <w:t>OAXACA</w:t>
      </w:r>
      <w:r w:rsidRPr="00C32566">
        <w:rPr>
          <w:rFonts w:ascii="Montserrat" w:eastAsia="Times New Roman" w:hAnsi="Montserrat" w:cs="Arial"/>
        </w:rPr>
        <w:t>.</w:t>
      </w:r>
    </w:p>
    <w:p w14:paraId="6BB3A6C6"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En el mes de mayo de 2024, como estrategia administrativa financiera, con previa autorización del Honorable Congreso del Estado de Oaxaca, la presente administración tomó la decisión de reestructurar la deuda pública del Estado que consistió en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dará a las finanzas </w:t>
      </w:r>
      <w:r w:rsidRPr="00C32566">
        <w:rPr>
          <w:rFonts w:ascii="Montserrat" w:eastAsia="Times New Roman" w:hAnsi="Montserrat" w:cs="Arial"/>
        </w:rPr>
        <w:lastRenderedPageBreak/>
        <w:t>contar con una fuente de liquidez para enfrentar las necesidades apremiantes. Además, es uno de los indicadores que evalúan las calificadoras.</w:t>
      </w:r>
    </w:p>
    <w:p w14:paraId="6611E6A6"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Al cierre del Tercer Trimestre de 2024, el Gobierno Estatal del Estado de Oaxaca, continúa con los planteamientos administrativos de finanzas determinados al inicio de su administración.</w:t>
      </w:r>
    </w:p>
    <w:p w14:paraId="57CA5DB9"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En término concreto se resumen en: continuar con la iniciativa de no contratar deuda pública de largo y corto plazos.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tercer semestre de 2024. </w:t>
      </w:r>
    </w:p>
    <w:p w14:paraId="0639021C" w14:textId="243B2C7B" w:rsidR="001407B5" w:rsidRDefault="001407B5"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Producto Interno Bruto del Estado de Oaxaca.</w:t>
      </w:r>
    </w:p>
    <w:p w14:paraId="097A5FDF" w14:textId="5412AAA9"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Instituto Nacional de Estadística Geográfica (INEGI), en su comunicado de prensa PIBE, No. 794/23 fechado el 07 de diciembre de 2023, reportó el monto del PIB en valores constantes con base a precios de 2018 de 407,238 m.d.p. para el año 2022, que porcentualmente representa el 7.8 %, doblando de esta manera al PIB nacional 3.4 % correspondiente para ese año.</w:t>
      </w:r>
    </w:p>
    <w:p w14:paraId="7F0E18A1" w14:textId="77777777" w:rsidR="001407B5"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Al consultar en Wikipedia. La enciclopedia libre, refirió el PIB de Oaxaca de 570,204 millones de pesos para el año 2023.</w:t>
      </w:r>
    </w:p>
    <w:p w14:paraId="36BCA370" w14:textId="5AD3D5D8" w:rsidR="00A259CD" w:rsidRDefault="00293A6B" w:rsidP="00C32566">
      <w:pPr>
        <w:tabs>
          <w:tab w:val="left" w:pos="7260"/>
        </w:tabs>
        <w:spacing w:before="240" w:after="240"/>
        <w:jc w:val="both"/>
        <w:rPr>
          <w:rFonts w:ascii="Montserrat" w:eastAsia="Times New Roman" w:hAnsi="Montserrat" w:cs="Arial"/>
        </w:rPr>
      </w:pPr>
      <w:hyperlink r:id="rId19" w:history="1">
        <w:r w:rsidR="001407B5" w:rsidRPr="00043CD4">
          <w:rPr>
            <w:rStyle w:val="Hipervnculo"/>
            <w:rFonts w:ascii="Montserrat" w:eastAsia="Times New Roman" w:hAnsi="Montserrat" w:cs="Arial"/>
          </w:rPr>
          <w:t>https://es.wikipedia.org/wiki/Anexo:Entidades_federativas_de_M%C3%A9xico_por_PIB_per_c%C3%A1pita</w:t>
        </w:r>
      </w:hyperlink>
      <w:r w:rsidR="00A259CD" w:rsidRPr="00C32566">
        <w:rPr>
          <w:rFonts w:ascii="Montserrat" w:eastAsia="Times New Roman" w:hAnsi="Montserrat" w:cs="Arial"/>
        </w:rPr>
        <w:t>.</w:t>
      </w:r>
    </w:p>
    <w:p w14:paraId="7DD6C6B7"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“En 2022, el PIB en valores constantes para Oaxaca alcanzó un valor de 407 238 millones de pesos. Esto implicó un crecimiento en términos reales de 7.8 % respecto del valor obtenido un año antes. Las actividades primarias disminuyeron 1.9 %, las secundarias se incrementaron 14.2 % y las terciarias aumentaron 5.2 por ciento. El incremento de 7.8 % en la actividad económica de Oaxaca se explica, principalmente, por el avance en Construcción (31.8 %), Industrias manufactureras (4.6 %), Comercio al por menor (4.0 %), Transportes, correos y almacenamiento (13.5 %) y Servicios </w:t>
      </w:r>
      <w:r w:rsidRPr="00C32566">
        <w:rPr>
          <w:rFonts w:ascii="Montserrat" w:eastAsia="Times New Roman" w:hAnsi="Montserrat" w:cs="Arial"/>
        </w:rPr>
        <w:lastRenderedPageBreak/>
        <w:t>de alojamiento temporal y de preparación de alimentos y bebidas (65.9 %). El sector Servicios de apoyo a los negocios y manejo de residuos, y servicios de remediación disminuyó 61.5 %.” (PIBE, Inegi).</w:t>
      </w:r>
    </w:p>
    <w:p w14:paraId="3392622D"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El Indicador Trimestral de la Actividad Económica Estatal (ITAEE) Primer Trimestre de 2024, la economía oaxaqueña registra una variación porcentual real respecto al mismo trimestre del año anterior a precio 2018, de 1.9 %. Dato marginal por arriba de la media de nacional de 1.6 %. </w:t>
      </w:r>
    </w:p>
    <w:p w14:paraId="11CD3064"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INEGI hace la siguiente notificación: “Las contribuciones se obtienen ponderando las tasas de crecimiento con la participación que cada estado tiene de la actividad económica nacional”.</w:t>
      </w:r>
    </w:p>
    <w:p w14:paraId="5934772F"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Indicador Trimestral de la Actividad Económica Estatal, base 2018, cifras originales. Primer trimestre 2024.</w:t>
      </w:r>
    </w:p>
    <w:p w14:paraId="4CCD31AC"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drawing>
          <wp:inline distT="0" distB="0" distL="0" distR="0" wp14:anchorId="770316E3" wp14:editId="59863A61">
            <wp:extent cx="4895123" cy="4467225"/>
            <wp:effectExtent l="0" t="0" r="1270" b="0"/>
            <wp:docPr id="4152557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55736" name=""/>
                    <pic:cNvPicPr/>
                  </pic:nvPicPr>
                  <pic:blipFill rotWithShape="1">
                    <a:blip r:embed="rId20"/>
                    <a:srcRect l="33435" t="14120" r="18025" b="15008"/>
                    <a:stretch/>
                  </pic:blipFill>
                  <pic:spPr bwMode="auto">
                    <a:xfrm>
                      <a:off x="0" y="0"/>
                      <a:ext cx="4919664" cy="4489621"/>
                    </a:xfrm>
                    <a:prstGeom prst="rect">
                      <a:avLst/>
                    </a:prstGeom>
                    <a:ln>
                      <a:noFill/>
                    </a:ln>
                    <a:extLst>
                      <a:ext uri="{53640926-AAD7-44D8-BBD7-CCE9431645EC}">
                        <a14:shadowObscured xmlns:a14="http://schemas.microsoft.com/office/drawing/2010/main"/>
                      </a:ext>
                    </a:extLst>
                  </pic:spPr>
                </pic:pic>
              </a:graphicData>
            </a:graphic>
          </wp:inline>
        </w:drawing>
      </w:r>
    </w:p>
    <w:p w14:paraId="0C3865B1"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lastRenderedPageBreak/>
        <w:t>La Región Sur- Sureste primer trimestre 2024, registró en su actividad económica en las Actividades secundarias y en comparación de las demás regiones, encabeza la lista con el 5.6 %. Se debe entender el reflejo del aprovechamiento del apoyo de la inversión federal en las obras emblemáticas: Tren Maya, Refinería Dos Bocas y El Tren Transístmico de Tehuantepec Oaxaca. En este renglón a nivel nacional, registra el 0.9 %.</w:t>
      </w:r>
    </w:p>
    <w:p w14:paraId="6AA1EB60"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drawing>
          <wp:inline distT="0" distB="0" distL="0" distR="0" wp14:anchorId="1926C451" wp14:editId="7F460B6C">
            <wp:extent cx="5695561" cy="3014317"/>
            <wp:effectExtent l="0" t="0" r="635" b="0"/>
            <wp:docPr id="936114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14385" name=""/>
                    <pic:cNvPicPr/>
                  </pic:nvPicPr>
                  <pic:blipFill rotWithShape="1">
                    <a:blip r:embed="rId21"/>
                    <a:srcRect l="30041" t="38016" r="11914" b="12836"/>
                    <a:stretch/>
                  </pic:blipFill>
                  <pic:spPr bwMode="auto">
                    <a:xfrm>
                      <a:off x="0" y="0"/>
                      <a:ext cx="5755941" cy="3046272"/>
                    </a:xfrm>
                    <a:prstGeom prst="rect">
                      <a:avLst/>
                    </a:prstGeom>
                    <a:ln>
                      <a:noFill/>
                    </a:ln>
                    <a:extLst>
                      <a:ext uri="{53640926-AAD7-44D8-BBD7-CCE9431645EC}">
                        <a14:shadowObscured xmlns:a14="http://schemas.microsoft.com/office/drawing/2010/main"/>
                      </a:ext>
                    </a:extLst>
                  </pic:spPr>
                </pic:pic>
              </a:graphicData>
            </a:graphic>
          </wp:inline>
        </w:drawing>
      </w:r>
    </w:p>
    <w:p w14:paraId="5B29CB1C"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Trabajadores Asegurados en el Instituto Mexicano del Seguro Social (IMSS). </w:t>
      </w:r>
    </w:p>
    <w:p w14:paraId="6D61C71D"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IMSS, con datos de la STYPS, tiene como registro de trabajadores asegurados en ese instituto para el Estado de Oaxaca en el mes de septiembre de 2024, en números absolutos de 236,238 trabajadores, con un incremento de 4.24 % con respecto al mes de septiembre del año anterior. Se identifican bajo la siguiente clasificación: Permanentes 194,590, Urbanos 31,497 y del Campo 533 trabajadores. Durante el mes de septiembre de 2024 se registraron 2,865 trabajadores ante el IMSS.</w:t>
      </w:r>
    </w:p>
    <w:p w14:paraId="5B208A7C"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Inversión Extranjera Directa (IED). </w:t>
      </w:r>
    </w:p>
    <w:p w14:paraId="0A6DA711"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En el periodo enero a marzo de 2024, la IED en el Estado de Oaxaca alcanzó 6.8. mdd, distribuidos en reinversión de utilidades 4.4 mdd, nuevas inversiones 0.8 mdd y cuentas entre compañías 1.6 mdd.</w:t>
      </w:r>
    </w:p>
    <w:p w14:paraId="2BAEFFDC"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lastRenderedPageBreak/>
        <w:t>Desde 2006 a marzo de 2024, Oaxaca acumula un total de 5,686.1 mdd en IED, distribuidos en nuevas inversiones $2,186.9 mdd, reinversión de utilidades 1,762.8 mdd y cuentas entre compañías 1,736.3 mdd.</w:t>
      </w:r>
    </w:p>
    <w:p w14:paraId="739A55BD"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Inflación. La inflación anualizada para el mes de marzo de 2024, ha sido disparejo para las entidades federativas del país, oscila entre 2.5 % y 5.5 %. </w:t>
      </w:r>
    </w:p>
    <w:p w14:paraId="02D8240F" w14:textId="185CED15"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Históricamente, el año 2013 fue el mejor año de captación en contexto de la IED, con un monto de 1,942.6 mdd, en los rubros de Nueva Inversión: 1454.2 mdd, Reinversión de Utilidades: 104.3 mdd y Cuentas Entre Compañías: 384.1 mdd. </w:t>
      </w:r>
    </w:p>
    <w:p w14:paraId="38EBF23F"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interés por las empresas trasnacionales de invertir en México con el propósito de acercarse al mercado de los Estados Unidos llamado nearshoring, por lo que se observa para el Estado de Oaxaca, no está siendo beneficiado al referirnos con el reporte del primer trimestre de 2024.</w:t>
      </w:r>
    </w:p>
    <w:p w14:paraId="4EB92777"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INFLACIÓN. </w:t>
      </w:r>
    </w:p>
    <w:p w14:paraId="302BE323"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La inflación nacional, sigue aun fuera del parámetro objetivo del Banco de México (Banxico) de 3.0 % (+) (-) 1 punto porcentual. El mes de septiembre de 2024, el INEGI reporta el índice inflacionario generalizado de 4.58 %. </w:t>
      </w:r>
    </w:p>
    <w:p w14:paraId="1EB58691"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INPC, para la Ciudad de Oaxaca para el mismo periodo registró una inflación anualizada de 4.82 %, el mayor dato entre todas la ciudades y superior marginalmente al índice general nacional, así mismo, respecto a la inflación registrada para la Cd. de Tehuantepec, Oax., 5.24 % en el mismo mes referido.</w:t>
      </w:r>
    </w:p>
    <w:p w14:paraId="34F81BC7"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PANORAMA DE OPORTUNIDAD PARA EL ESTADO DE OAXACA.</w:t>
      </w:r>
    </w:p>
    <w:p w14:paraId="2D4E767D"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El desarrollo económico de la región Sur-Sureste, debe seguir siendo una prioridad del nuevo gobierno de México que recientemente tomó posición. (01 de octubre de 2024).  El anterior le dio un gran impulso que debe tener una continuidad para aprovechar se esa región desde el punto de vista geoeconómica. </w:t>
      </w:r>
    </w:p>
    <w:p w14:paraId="3624610B"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El desarrollo de la parte ístmica de Oaxaca, garantiza el crecimiento económico del Estado, así mismo, el beneficio sería no solamente de esa parte del país sino a nivel nacional.</w:t>
      </w:r>
    </w:p>
    <w:p w14:paraId="4DC22472" w14:textId="77777777" w:rsidR="001407B5" w:rsidRDefault="001407B5" w:rsidP="00C32566">
      <w:pPr>
        <w:tabs>
          <w:tab w:val="left" w:pos="7260"/>
        </w:tabs>
        <w:spacing w:before="240" w:after="240"/>
        <w:jc w:val="both"/>
        <w:rPr>
          <w:rFonts w:ascii="Montserrat" w:eastAsia="Times New Roman" w:hAnsi="Montserrat" w:cs="Arial"/>
        </w:rPr>
      </w:pPr>
    </w:p>
    <w:p w14:paraId="2CABAF59" w14:textId="61BDE9E0"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Este crecimiento económico lleva consigo un gran avance en el aspecto tecnológico de la producción y generación de muchos empleos.</w:t>
      </w:r>
    </w:p>
    <w:p w14:paraId="5172C6B1"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 xml:space="preserve">“En el sexto Informe de gobierno del presidente Andrés Manuel López Obrador se describió que resultado de estos proyectos, la actividad económica en los estados del sur-sureste experimentó incrementos anuales de doble dígito, registrando tasas de crecimiento históricas, por lo que jaló a la economía nacional.   </w:t>
      </w:r>
    </w:p>
    <w:p w14:paraId="3B3D5A94"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La administración de Andrés Manuel López Obrador detonó el crecimiento económico de México durante el 2023 a través del desarrollo en distintas regiones del país, pues se centró en continuar y finalizar sus proyectos de infraestructura clave, como el Tren Maya, el Ferrocarril del Istmo de Tehuantepec, la planta coquizadora de la refinería de Salina Cruz, la carretera Oaxaca-Puerto Escondido y la Refinería Olmeca.</w:t>
      </w:r>
    </w:p>
    <w:p w14:paraId="3BC8B748"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En el sexto Informe de gobierno del presidente Andrés Manuel López Obrador se describió que resultado de estos proyectos, la actividad económica en los estados del sur-sureste experimentó incrementos anuales de doble dígito, registrando tasas de crecimiento históricas, por lo que jaló a la economía nacional”. (La Jornada 02 de septiembre 2024).</w:t>
      </w:r>
    </w:p>
    <w:p w14:paraId="1E2C24FE"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Región sur lidera el crecimiento económico del país: Banxico</w:t>
      </w:r>
    </w:p>
    <w:p w14:paraId="1E93E3F7" w14:textId="77777777" w:rsidR="00A259CD" w:rsidRPr="00C32566" w:rsidRDefault="00A259CD" w:rsidP="00C32566">
      <w:pPr>
        <w:tabs>
          <w:tab w:val="left" w:pos="7260"/>
        </w:tabs>
        <w:spacing w:before="240" w:after="240"/>
        <w:jc w:val="both"/>
        <w:rPr>
          <w:rFonts w:ascii="Montserrat" w:eastAsia="Times New Roman" w:hAnsi="Montserrat" w:cs="Arial"/>
        </w:rPr>
      </w:pPr>
      <w:r w:rsidRPr="00C32566">
        <w:rPr>
          <w:rFonts w:ascii="Montserrat" w:eastAsia="Times New Roman" w:hAnsi="Montserrat" w:cs="Arial"/>
        </w:rPr>
        <w:t>“Las obras federales detonaron distintos sectores de la zona más rezagada del territorio nacional. La industria de la construcción creció 72.5% a tasa anual en el sur de México”. (El Economista. 14 de septiembre de 2023).</w:t>
      </w:r>
    </w:p>
    <w:p w14:paraId="2A9D3D58" w14:textId="77777777" w:rsidR="00A259CD" w:rsidRPr="00C32566" w:rsidRDefault="00A259CD" w:rsidP="00C32566">
      <w:pPr>
        <w:tabs>
          <w:tab w:val="left" w:pos="7260"/>
        </w:tabs>
        <w:spacing w:before="240" w:after="240"/>
        <w:jc w:val="both"/>
        <w:rPr>
          <w:rFonts w:ascii="Montserrat" w:eastAsia="Times New Roman" w:hAnsi="Montserrat" w:cs="Arial"/>
        </w:rPr>
      </w:pPr>
    </w:p>
    <w:p w14:paraId="6D471ECD" w14:textId="77777777" w:rsidR="00A259CD" w:rsidRPr="00C32566" w:rsidRDefault="00A259CD" w:rsidP="001407B5">
      <w:pPr>
        <w:tabs>
          <w:tab w:val="left" w:pos="7260"/>
        </w:tabs>
        <w:spacing w:before="240" w:after="240"/>
        <w:jc w:val="center"/>
        <w:rPr>
          <w:rFonts w:ascii="Montserrat" w:eastAsia="Times New Roman" w:hAnsi="Montserrat" w:cs="Arial"/>
        </w:rPr>
      </w:pPr>
      <w:r w:rsidRPr="00C32566">
        <w:rPr>
          <w:rFonts w:ascii="Montserrat" w:eastAsia="Times New Roman" w:hAnsi="Montserrat" w:cs="Arial"/>
          <w:noProof/>
          <w:lang w:val="es-MX"/>
        </w:rPr>
        <w:lastRenderedPageBreak/>
        <w:drawing>
          <wp:inline distT="0" distB="0" distL="0" distR="0" wp14:anchorId="3D3130AF" wp14:editId="7EF3F8CE">
            <wp:extent cx="3267075" cy="4384486"/>
            <wp:effectExtent l="0" t="0" r="0" b="0"/>
            <wp:docPr id="1704237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37562" name=""/>
                    <pic:cNvPicPr/>
                  </pic:nvPicPr>
                  <pic:blipFill rotWithShape="1">
                    <a:blip r:embed="rId22"/>
                    <a:srcRect l="31739" t="24710" r="43482" b="22610"/>
                    <a:stretch/>
                  </pic:blipFill>
                  <pic:spPr bwMode="auto">
                    <a:xfrm>
                      <a:off x="0" y="0"/>
                      <a:ext cx="3270458" cy="4389026"/>
                    </a:xfrm>
                    <a:prstGeom prst="rect">
                      <a:avLst/>
                    </a:prstGeom>
                    <a:ln>
                      <a:noFill/>
                    </a:ln>
                    <a:extLst>
                      <a:ext uri="{53640926-AAD7-44D8-BBD7-CCE9431645EC}">
                        <a14:shadowObscured xmlns:a14="http://schemas.microsoft.com/office/drawing/2010/main"/>
                      </a:ext>
                    </a:extLst>
                  </pic:spPr>
                </pic:pic>
              </a:graphicData>
            </a:graphic>
          </wp:inline>
        </w:drawing>
      </w:r>
    </w:p>
    <w:p w14:paraId="0F2C9497" w14:textId="77777777" w:rsidR="00E26F00" w:rsidRPr="00C32566" w:rsidRDefault="00E26F00" w:rsidP="00C32566">
      <w:pPr>
        <w:tabs>
          <w:tab w:val="left" w:pos="7260"/>
        </w:tabs>
        <w:spacing w:before="240" w:after="240"/>
        <w:jc w:val="both"/>
        <w:rPr>
          <w:rFonts w:ascii="Montserrat" w:eastAsia="Times New Roman" w:hAnsi="Montserrat" w:cs="Arial"/>
        </w:rPr>
      </w:pPr>
    </w:p>
    <w:p w14:paraId="351346CE" w14:textId="1659D30A" w:rsidR="00B0059B" w:rsidRPr="00F129E5" w:rsidRDefault="00B0059B" w:rsidP="00F129E5">
      <w:pPr>
        <w:pStyle w:val="Prrafodelista"/>
        <w:widowControl w:val="0"/>
        <w:numPr>
          <w:ilvl w:val="0"/>
          <w:numId w:val="6"/>
        </w:numPr>
        <w:ind w:left="426" w:hanging="426"/>
        <w:jc w:val="both"/>
        <w:rPr>
          <w:rFonts w:ascii="Montserrat" w:hAnsi="Montserrat"/>
          <w:b/>
          <w:sz w:val="24"/>
          <w:szCs w:val="24"/>
        </w:rPr>
      </w:pPr>
      <w:r w:rsidRPr="00F129E5">
        <w:rPr>
          <w:rFonts w:ascii="Montserrat" w:hAnsi="Montserrat"/>
          <w:b/>
          <w:sz w:val="24"/>
          <w:szCs w:val="24"/>
        </w:rPr>
        <w:t>Organización y Objeto Social.</w:t>
      </w:r>
    </w:p>
    <w:p w14:paraId="30BECA59" w14:textId="77777777" w:rsidR="00B0059B" w:rsidRPr="00FD2DE6" w:rsidRDefault="00B0059B" w:rsidP="00B0059B">
      <w:pPr>
        <w:pStyle w:val="Prrafodelista"/>
        <w:widowControl w:val="0"/>
        <w:ind w:left="426"/>
        <w:jc w:val="both"/>
        <w:rPr>
          <w:rFonts w:ascii="Montserrat" w:hAnsi="Montserrat"/>
          <w:b/>
          <w:sz w:val="24"/>
          <w:szCs w:val="24"/>
        </w:rPr>
      </w:pPr>
    </w:p>
    <w:p w14:paraId="226577E0"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Objeto social.</w:t>
      </w:r>
    </w:p>
    <w:p w14:paraId="29B481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garantizar los derechos humanos, de conformidad con los principios de universalidad, interdependencia, pluriculturalidad y progresividad. </w:t>
      </w:r>
    </w:p>
    <w:p w14:paraId="0CC79DCD" w14:textId="77777777" w:rsidR="00B0059B" w:rsidRPr="00FD2DE6" w:rsidRDefault="00B0059B" w:rsidP="00B0059B">
      <w:pPr>
        <w:tabs>
          <w:tab w:val="left" w:pos="7260"/>
        </w:tabs>
        <w:jc w:val="both"/>
        <w:rPr>
          <w:rFonts w:ascii="Montserrat" w:eastAsia="Times New Roman" w:hAnsi="Montserrat" w:cs="Arial"/>
        </w:rPr>
      </w:pPr>
    </w:p>
    <w:p w14:paraId="60FD7F49"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FD2DE6" w:rsidRDefault="00B0059B" w:rsidP="00B0059B">
      <w:pPr>
        <w:tabs>
          <w:tab w:val="left" w:pos="7260"/>
        </w:tabs>
        <w:jc w:val="both"/>
        <w:rPr>
          <w:rFonts w:ascii="Montserrat" w:eastAsia="Times New Roman" w:hAnsi="Montserrat" w:cs="Arial"/>
        </w:rPr>
      </w:pPr>
    </w:p>
    <w:p w14:paraId="0E6EDB95"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Principal actividad</w:t>
      </w:r>
    </w:p>
    <w:p w14:paraId="4DEA9867"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FD2DE6" w:rsidRDefault="00B0059B" w:rsidP="00B0059B">
      <w:pPr>
        <w:tabs>
          <w:tab w:val="left" w:pos="7260"/>
        </w:tabs>
        <w:jc w:val="both"/>
        <w:rPr>
          <w:rFonts w:ascii="Montserrat" w:eastAsia="Times New Roman" w:hAnsi="Montserrat" w:cs="Arial"/>
        </w:rPr>
      </w:pPr>
    </w:p>
    <w:p w14:paraId="6F7428F2"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Ejercicio fiscal</w:t>
      </w:r>
    </w:p>
    <w:p w14:paraId="5653C97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FD2DE6" w:rsidRDefault="00B0059B" w:rsidP="00B0059B">
      <w:pPr>
        <w:tabs>
          <w:tab w:val="left" w:pos="7260"/>
        </w:tabs>
        <w:jc w:val="both"/>
        <w:rPr>
          <w:rFonts w:ascii="Montserrat" w:eastAsia="Times New Roman" w:hAnsi="Montserrat" w:cs="Arial"/>
        </w:rPr>
      </w:pPr>
    </w:p>
    <w:p w14:paraId="48137C41" w14:textId="31CFFA70"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Por tanto, la información financiera presentada en este documento </w:t>
      </w:r>
      <w:r w:rsidR="00772A80" w:rsidRPr="00FD2DE6">
        <w:rPr>
          <w:rFonts w:ascii="Montserrat" w:eastAsia="Times New Roman" w:hAnsi="Montserrat" w:cs="Arial"/>
        </w:rPr>
        <w:t>s</w:t>
      </w:r>
      <w:r w:rsidRPr="00FD2DE6">
        <w:rPr>
          <w:rFonts w:ascii="Montserrat" w:eastAsia="Times New Roman" w:hAnsi="Montserrat" w:cs="Arial"/>
        </w:rPr>
        <w:t>e refiere al periodo relativo a un año calendario, que comprende del 1 de enero</w:t>
      </w:r>
      <w:r w:rsidR="00772A80" w:rsidRPr="00FD2DE6">
        <w:rPr>
          <w:rFonts w:ascii="Montserrat" w:eastAsia="Times New Roman" w:hAnsi="Montserrat" w:cs="Arial"/>
        </w:rPr>
        <w:t xml:space="preserve"> al 30 de </w:t>
      </w:r>
      <w:r w:rsidR="001407B5">
        <w:rPr>
          <w:rFonts w:ascii="Montserrat" w:eastAsia="Times New Roman" w:hAnsi="Montserrat" w:cs="Arial"/>
        </w:rPr>
        <w:t>septiembre</w:t>
      </w:r>
      <w:r w:rsidRPr="00FD2DE6">
        <w:rPr>
          <w:rFonts w:ascii="Montserrat" w:eastAsia="Times New Roman" w:hAnsi="Montserrat" w:cs="Arial"/>
        </w:rPr>
        <w:t>, y está directamente relacionado el ejercicio del presupuesto de ingresos estimado y el presupuesto de egresos autorizado para el ejercicio 202</w:t>
      </w:r>
      <w:r w:rsidR="00772A80" w:rsidRPr="00FD2DE6">
        <w:rPr>
          <w:rFonts w:ascii="Montserrat" w:eastAsia="Times New Roman" w:hAnsi="Montserrat" w:cs="Arial"/>
        </w:rPr>
        <w:t>4</w:t>
      </w:r>
      <w:r w:rsidRPr="00FD2DE6">
        <w:rPr>
          <w:rFonts w:ascii="Montserrat" w:eastAsia="Times New Roman" w:hAnsi="Montserrat" w:cs="Arial"/>
        </w:rPr>
        <w:t>.</w:t>
      </w:r>
    </w:p>
    <w:p w14:paraId="2E92B117" w14:textId="77777777" w:rsidR="00B0059B" w:rsidRPr="00FD2DE6" w:rsidRDefault="00B0059B" w:rsidP="00B0059B">
      <w:pPr>
        <w:tabs>
          <w:tab w:val="left" w:pos="7260"/>
        </w:tabs>
        <w:jc w:val="both"/>
        <w:rPr>
          <w:rFonts w:ascii="Montserrat" w:eastAsia="Times New Roman" w:hAnsi="Montserrat" w:cs="Arial"/>
        </w:rPr>
      </w:pPr>
    </w:p>
    <w:p w14:paraId="4CA09346"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Régimen Jurídico</w:t>
      </w:r>
    </w:p>
    <w:p w14:paraId="473ECF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está regulado por la siguiente legislación:</w:t>
      </w:r>
    </w:p>
    <w:p w14:paraId="4F9A11C5" w14:textId="77777777" w:rsidR="00B0059B" w:rsidRPr="00FD2DE6" w:rsidRDefault="00B0059B" w:rsidP="00B0059B">
      <w:pPr>
        <w:tabs>
          <w:tab w:val="left" w:pos="7260"/>
        </w:tabs>
        <w:jc w:val="both"/>
        <w:rPr>
          <w:rFonts w:ascii="Montserrat" w:eastAsia="Times New Roman" w:hAnsi="Montserrat" w:cs="Arial"/>
        </w:rPr>
      </w:pPr>
    </w:p>
    <w:p w14:paraId="64A8898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La Constitución Política de los Estados Unidos Mexicanos.</w:t>
      </w:r>
    </w:p>
    <w:p w14:paraId="30B2085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Constitución Política del Estado Libre y Soberano de Oaxaca.</w:t>
      </w:r>
    </w:p>
    <w:p w14:paraId="38F7DAB0"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Orgánica del Poder Ejecutivo del Estado de Oaxaca</w:t>
      </w:r>
    </w:p>
    <w:p w14:paraId="178D51E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Estatal de Presupuesto y Responsabilidad Hacendaria</w:t>
      </w:r>
    </w:p>
    <w:p w14:paraId="238CCF96"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General de Contabilidad Gubernamental.</w:t>
      </w:r>
    </w:p>
    <w:p w14:paraId="6C0462D7"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Responsabilidades Administrativas del Estado y Municipios de Oaxaca.</w:t>
      </w:r>
    </w:p>
    <w:p w14:paraId="7F50B887"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Estatal de Hacienda</w:t>
      </w:r>
    </w:p>
    <w:p w14:paraId="56C41EEF"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Coordinación Fiscal para el Estado de Oaxaca</w:t>
      </w:r>
    </w:p>
    <w:p w14:paraId="3CE39576"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Deuda Pública para el Estado de Oaxaca</w:t>
      </w:r>
    </w:p>
    <w:p w14:paraId="01E99328"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Ley de Transparencia y Acceso a la Información Pública para el Estado de Oaxaca</w:t>
      </w:r>
    </w:p>
    <w:p w14:paraId="78BF1D5A" w14:textId="5FA16BA1"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Ingresos del Estado de Oaxaca para el periodo 202</w:t>
      </w:r>
      <w:r w:rsidR="00772A80" w:rsidRPr="00FD2DE6">
        <w:rPr>
          <w:rFonts w:ascii="Montserrat" w:eastAsia="Times New Roman" w:hAnsi="Montserrat" w:cs="Arial"/>
          <w:sz w:val="24"/>
          <w:szCs w:val="24"/>
        </w:rPr>
        <w:t>4</w:t>
      </w:r>
    </w:p>
    <w:p w14:paraId="56D5EBE6" w14:textId="0C20D48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Presupuestos de Egresos del Estado de Oaxaca para el periodo 202</w:t>
      </w:r>
      <w:r w:rsidR="00772A80" w:rsidRPr="00FD2DE6">
        <w:rPr>
          <w:rFonts w:ascii="Montserrat" w:eastAsia="Times New Roman" w:hAnsi="Montserrat" w:cs="Arial"/>
          <w:sz w:val="24"/>
          <w:szCs w:val="24"/>
        </w:rPr>
        <w:t>4</w:t>
      </w:r>
      <w:r w:rsidRPr="00FD2DE6">
        <w:rPr>
          <w:rFonts w:ascii="Montserrat" w:eastAsia="Times New Roman" w:hAnsi="Montserrat" w:cs="Arial"/>
          <w:sz w:val="24"/>
          <w:szCs w:val="24"/>
        </w:rPr>
        <w:t xml:space="preserve"> </w:t>
      </w:r>
    </w:p>
    <w:p w14:paraId="67C7BE2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Entre otras.</w:t>
      </w:r>
    </w:p>
    <w:p w14:paraId="74D7CC90" w14:textId="77777777" w:rsidR="00B0059B" w:rsidRPr="00FD2DE6"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Consideraciones fiscales</w:t>
      </w:r>
    </w:p>
    <w:p w14:paraId="5CFB3AF5"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FD2DE6" w:rsidRDefault="00B0059B" w:rsidP="00B0059B">
      <w:pPr>
        <w:tabs>
          <w:tab w:val="left" w:pos="7260"/>
        </w:tabs>
        <w:jc w:val="both"/>
        <w:rPr>
          <w:rFonts w:ascii="Montserrat" w:eastAsia="Times New Roman" w:hAnsi="Montserrat" w:cs="Arial"/>
        </w:rPr>
      </w:pPr>
    </w:p>
    <w:p w14:paraId="2854BEBC"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mensual de las personas físicas con actividades empresariales y profesionales.</w:t>
      </w:r>
    </w:p>
    <w:p w14:paraId="5625F1E9"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anual donde se informe sobre las retenciones de los trabajadores que recibieron Sueldos y Salarios y Trabajadores asimilables a salarios.</w:t>
      </w:r>
    </w:p>
    <w:p w14:paraId="098225A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Declaración Informativa Anual de Subsidios para el Empleo.</w:t>
      </w:r>
    </w:p>
    <w:p w14:paraId="123FD92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Presentar la Declaración Informativa Mensual de Operaciones con Terceros. </w:t>
      </w:r>
    </w:p>
    <w:p w14:paraId="36796C27"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información del aviso para la aplicación de estímulos a entidades federativas, municipios y otros organismos públicos.</w:t>
      </w:r>
    </w:p>
    <w:p w14:paraId="6B36F19A" w14:textId="77777777" w:rsidR="00B0059B" w:rsidRPr="00FD2DE6"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Estructura Organizacional Básica.</w:t>
      </w:r>
    </w:p>
    <w:p w14:paraId="5C5EC15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w:t>
      </w:r>
      <w:r w:rsidRPr="00FD2DE6">
        <w:rPr>
          <w:rFonts w:ascii="Montserrat" w:eastAsia="Times New Roman" w:hAnsi="Montserrat" w:cs="Arial"/>
        </w:rPr>
        <w:lastRenderedPageBreak/>
        <w:t>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FD2DE6" w:rsidRDefault="00B0059B" w:rsidP="00B0059B">
      <w:pPr>
        <w:tabs>
          <w:tab w:val="left" w:pos="7260"/>
        </w:tabs>
        <w:jc w:val="both"/>
        <w:rPr>
          <w:rFonts w:ascii="Montserrat" w:eastAsia="Times New Roman" w:hAnsi="Montserrat" w:cs="Arial"/>
        </w:rPr>
      </w:pPr>
    </w:p>
    <w:p w14:paraId="4DE4A1D3"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FD2DE6" w:rsidRDefault="00B0059B" w:rsidP="00B0059B">
      <w:pPr>
        <w:tabs>
          <w:tab w:val="left" w:pos="7260"/>
        </w:tabs>
        <w:jc w:val="both"/>
        <w:rPr>
          <w:rFonts w:ascii="Montserrat" w:eastAsia="Times New Roman" w:hAnsi="Montserrat" w:cs="Arial"/>
        </w:rPr>
      </w:pPr>
    </w:p>
    <w:p w14:paraId="25C19C9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Administración Pública Centralizada</w:t>
      </w:r>
    </w:p>
    <w:p w14:paraId="0FA143B2" w14:textId="77777777" w:rsidR="00B0059B" w:rsidRPr="00FD2DE6" w:rsidRDefault="00B0059B" w:rsidP="00B0059B">
      <w:pPr>
        <w:tabs>
          <w:tab w:val="left" w:pos="7260"/>
        </w:tabs>
        <w:jc w:val="both"/>
        <w:rPr>
          <w:rFonts w:ascii="Montserrat" w:eastAsia="Times New Roman" w:hAnsi="Montserrat" w:cs="Arial"/>
        </w:rPr>
      </w:pPr>
    </w:p>
    <w:p w14:paraId="38AEBA4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FD2DE6" w:rsidRDefault="00B0059B" w:rsidP="00B0059B">
      <w:pPr>
        <w:tabs>
          <w:tab w:val="left" w:pos="7260"/>
        </w:tabs>
        <w:jc w:val="both"/>
        <w:rPr>
          <w:rFonts w:ascii="Montserrat" w:eastAsia="Times New Roman" w:hAnsi="Montserrat" w:cs="Arial"/>
        </w:rPr>
      </w:pPr>
    </w:p>
    <w:p w14:paraId="43A14B8C"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Gubernatura</w:t>
      </w:r>
    </w:p>
    <w:p w14:paraId="1DDC17D2"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Gobierno</w:t>
      </w:r>
    </w:p>
    <w:p w14:paraId="1F8AA497"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Seguridad Pública y Protección Ciudadana </w:t>
      </w:r>
    </w:p>
    <w:p w14:paraId="24D8EB68"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Infraestructuras y Comunicaciones </w:t>
      </w:r>
    </w:p>
    <w:p w14:paraId="30CBB140"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del Trabajo</w:t>
      </w:r>
    </w:p>
    <w:p w14:paraId="115BAE22"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Movilidad</w:t>
      </w:r>
    </w:p>
    <w:p w14:paraId="05340594"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las Culturas y Artes </w:t>
      </w:r>
    </w:p>
    <w:p w14:paraId="37C6AD39"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Bienestar, Tequio e Inclusión </w:t>
      </w:r>
    </w:p>
    <w:p w14:paraId="5BF02EDC" w14:textId="77777777" w:rsidR="00B0059B" w:rsidRPr="00FD2DE6" w:rsidRDefault="00B0059B" w:rsidP="00B0059B">
      <w:pPr>
        <w:pStyle w:val="Prrafodelista"/>
        <w:numPr>
          <w:ilvl w:val="0"/>
          <w:numId w:val="4"/>
        </w:numPr>
        <w:tabs>
          <w:tab w:val="left" w:pos="7260"/>
        </w:tabs>
        <w:rPr>
          <w:rFonts w:ascii="Montserrat" w:eastAsia="Times New Roman" w:hAnsi="Montserrat" w:cs="Arial"/>
          <w:sz w:val="24"/>
          <w:szCs w:val="24"/>
        </w:rPr>
      </w:pPr>
      <w:r w:rsidRPr="00FD2DE6">
        <w:rPr>
          <w:rFonts w:ascii="Montserrat" w:eastAsia="Times New Roman" w:hAnsi="Montserrat" w:cs="Arial"/>
          <w:sz w:val="24"/>
          <w:szCs w:val="24"/>
        </w:rPr>
        <w:t>Secretaría de Interculturalidad, Pueblos y Comunidades Indígenas y Afromexicanas</w:t>
      </w:r>
    </w:p>
    <w:p w14:paraId="28428EE1"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Fomento Agroalimentario y Desarrollo Rural </w:t>
      </w:r>
    </w:p>
    <w:p w14:paraId="1C70293A"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Finanzas</w:t>
      </w:r>
    </w:p>
    <w:p w14:paraId="15EA6798"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Administración</w:t>
      </w:r>
      <w:r w:rsidRPr="00FD2DE6">
        <w:rPr>
          <w:rFonts w:ascii="Montserrat" w:eastAsia="Times New Roman" w:hAnsi="Montserrat" w:cs="Arial"/>
          <w:sz w:val="24"/>
          <w:szCs w:val="24"/>
        </w:rPr>
        <w:tab/>
      </w:r>
    </w:p>
    <w:p w14:paraId="5C94FDAC"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Honestidad, Transparencia y Función Pública</w:t>
      </w:r>
      <w:r w:rsidRPr="00FD2DE6">
        <w:rPr>
          <w:rFonts w:ascii="Montserrat" w:eastAsia="Times New Roman" w:hAnsi="Montserrat" w:cs="Arial"/>
          <w:sz w:val="24"/>
          <w:szCs w:val="24"/>
        </w:rPr>
        <w:tab/>
      </w:r>
      <w:r w:rsidRPr="00FD2DE6">
        <w:rPr>
          <w:rFonts w:ascii="Montserrat" w:eastAsia="Times New Roman" w:hAnsi="Montserrat" w:cs="Arial"/>
          <w:sz w:val="24"/>
          <w:szCs w:val="24"/>
        </w:rPr>
        <w:tab/>
      </w:r>
    </w:p>
    <w:p w14:paraId="5AD485F3"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Consejería Jurídica y Asistencia Legal del Estado</w:t>
      </w:r>
      <w:r w:rsidRPr="00FD2DE6">
        <w:rPr>
          <w:rFonts w:ascii="Montserrat" w:eastAsia="Times New Roman" w:hAnsi="Montserrat" w:cs="Arial"/>
          <w:sz w:val="24"/>
          <w:szCs w:val="24"/>
        </w:rPr>
        <w:tab/>
      </w:r>
    </w:p>
    <w:p w14:paraId="2623ACA5"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Coordinación de Comunicación Social</w:t>
      </w:r>
      <w:r w:rsidRPr="00FD2DE6">
        <w:rPr>
          <w:rFonts w:ascii="Montserrat" w:eastAsia="Times New Roman" w:hAnsi="Montserrat" w:cs="Arial"/>
          <w:sz w:val="24"/>
          <w:szCs w:val="24"/>
        </w:rPr>
        <w:tab/>
      </w:r>
    </w:p>
    <w:p w14:paraId="41A308F6"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Coordinación para la Atención de los Derechos Humanos</w:t>
      </w:r>
      <w:r w:rsidRPr="00FD2DE6">
        <w:rPr>
          <w:rFonts w:ascii="Montserrat" w:eastAsia="Times New Roman" w:hAnsi="Montserrat" w:cs="Arial"/>
          <w:sz w:val="24"/>
          <w:szCs w:val="24"/>
        </w:rPr>
        <w:tab/>
      </w:r>
    </w:p>
    <w:p w14:paraId="269BA919"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Instituto de Planeación para el Bienestar</w:t>
      </w:r>
      <w:r w:rsidRPr="00FD2DE6">
        <w:rPr>
          <w:rFonts w:ascii="Montserrat" w:eastAsia="Times New Roman" w:hAnsi="Montserrat" w:cs="Arial"/>
          <w:sz w:val="24"/>
          <w:szCs w:val="24"/>
        </w:rPr>
        <w:tab/>
      </w:r>
    </w:p>
    <w:p w14:paraId="3CB2F4DB"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Secretariado Ejecutivo del Sistema Estatal de Seguridad Pública</w:t>
      </w:r>
      <w:r w:rsidRPr="00FD2DE6">
        <w:rPr>
          <w:rFonts w:ascii="Montserrat" w:eastAsia="Times New Roman" w:hAnsi="Montserrat" w:cs="Arial"/>
          <w:sz w:val="24"/>
          <w:szCs w:val="24"/>
        </w:rPr>
        <w:tab/>
      </w:r>
    </w:p>
    <w:p w14:paraId="3868480E"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Desarrollo Económico</w:t>
      </w:r>
    </w:p>
    <w:p w14:paraId="13A11A67"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Turismo </w:t>
      </w:r>
    </w:p>
    <w:p w14:paraId="267EA8AD"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las Mujeres </w:t>
      </w:r>
    </w:p>
    <w:p w14:paraId="6419C4B8"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del Medio Ambiente, Biodiversidad, Energías y Sostenibilidad</w:t>
      </w:r>
    </w:p>
    <w:p w14:paraId="4B9CB8CF"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Secretaria de Educación Pública</w:t>
      </w:r>
    </w:p>
    <w:p w14:paraId="566AC19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FD2DE6" w:rsidRDefault="00B0059B" w:rsidP="00B0059B">
      <w:pPr>
        <w:autoSpaceDE w:val="0"/>
        <w:autoSpaceDN w:val="0"/>
        <w:adjustRightInd w:val="0"/>
        <w:jc w:val="both"/>
        <w:rPr>
          <w:rFonts w:ascii="Montserrat" w:hAnsi="Montserrat"/>
        </w:rPr>
      </w:pPr>
    </w:p>
    <w:p w14:paraId="77FEF84E" w14:textId="77777777" w:rsidR="00B0059B" w:rsidRPr="00FD2DE6" w:rsidRDefault="00B0059B" w:rsidP="00B0059B">
      <w:pPr>
        <w:autoSpaceDE w:val="0"/>
        <w:autoSpaceDN w:val="0"/>
        <w:adjustRightInd w:val="0"/>
        <w:jc w:val="both"/>
        <w:rPr>
          <w:rFonts w:ascii="Montserrat" w:eastAsia="Times New Roman" w:hAnsi="Montserrat" w:cs="Arial"/>
        </w:rPr>
      </w:pPr>
      <w:r w:rsidRPr="00FD2DE6">
        <w:rPr>
          <w:rFonts w:ascii="Montserrat" w:eastAsia="Times New Roman" w:hAnsi="Montserrat" w:cs="Arial"/>
        </w:rPr>
        <w:t>Es importante mencionar que en lo que va de la presente administración se han extinguido trece entes públicos, dos pertenecientes a la Administración Pública Centralizada, nueve a la Administración Pública Descentralizada, uno a los Órganos Auxiliares y uno más a los Órganos Autónomos de los cuales diez fueron absorbidos por dependencias del Sector Central y uno se transformó parte de la Administración Pública Descentralizada en de acuerdo con el siguiente cuadro:</w:t>
      </w:r>
    </w:p>
    <w:p w14:paraId="365468E9" w14:textId="77777777" w:rsidR="00362B39" w:rsidRPr="00FD2DE6" w:rsidRDefault="00362B39" w:rsidP="00B0059B">
      <w:pPr>
        <w:autoSpaceDE w:val="0"/>
        <w:autoSpaceDN w:val="0"/>
        <w:adjustRightInd w:val="0"/>
        <w:jc w:val="both"/>
        <w:rPr>
          <w:rFonts w:ascii="Montserrat" w:eastAsia="Times New Roman" w:hAnsi="Montserrat" w:cs="Arial"/>
        </w:rPr>
      </w:pPr>
    </w:p>
    <w:tbl>
      <w:tblPr>
        <w:tblW w:w="9040" w:type="dxa"/>
        <w:tblInd w:w="-10" w:type="dxa"/>
        <w:tblCellMar>
          <w:left w:w="70" w:type="dxa"/>
          <w:right w:w="70" w:type="dxa"/>
        </w:tblCellMar>
        <w:tblLook w:val="04A0" w:firstRow="1" w:lastRow="0" w:firstColumn="1" w:lastColumn="0" w:noHBand="0" w:noVBand="1"/>
      </w:tblPr>
      <w:tblGrid>
        <w:gridCol w:w="4210"/>
        <w:gridCol w:w="4830"/>
      </w:tblGrid>
      <w:tr w:rsidR="00FD2DE6" w:rsidRPr="00FD2DE6" w14:paraId="22225815" w14:textId="77777777" w:rsidTr="005C0A3B">
        <w:trPr>
          <w:trHeight w:val="309"/>
          <w:tblHeader/>
        </w:trPr>
        <w:tc>
          <w:tcPr>
            <w:tcW w:w="42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51C888" w14:textId="77777777" w:rsidR="00362B39" w:rsidRPr="00FD2DE6" w:rsidRDefault="00362B39" w:rsidP="00362B39">
            <w:pPr>
              <w:jc w:val="cente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Ente extinto</w:t>
            </w:r>
          </w:p>
        </w:tc>
        <w:tc>
          <w:tcPr>
            <w:tcW w:w="4830" w:type="dxa"/>
            <w:tcBorders>
              <w:top w:val="single" w:sz="8" w:space="0" w:color="auto"/>
              <w:left w:val="nil"/>
              <w:bottom w:val="single" w:sz="8" w:space="0" w:color="auto"/>
              <w:right w:val="single" w:sz="8" w:space="0" w:color="auto"/>
            </w:tcBorders>
            <w:shd w:val="clear" w:color="auto" w:fill="auto"/>
            <w:vAlign w:val="center"/>
            <w:hideMark/>
          </w:tcPr>
          <w:p w14:paraId="6F86D18F" w14:textId="77777777" w:rsidR="00362B39" w:rsidRPr="00FD2DE6" w:rsidRDefault="00362B39" w:rsidP="00362B39">
            <w:pPr>
              <w:jc w:val="cente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Dependencia fusionante</w:t>
            </w:r>
          </w:p>
        </w:tc>
      </w:tr>
      <w:tr w:rsidR="00FD2DE6" w:rsidRPr="00FD2DE6" w14:paraId="228876D5"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1A99DE4B"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Unidades y Caravanas Móviles de Servicios Gratuitos</w:t>
            </w:r>
          </w:p>
        </w:tc>
        <w:tc>
          <w:tcPr>
            <w:tcW w:w="4830" w:type="dxa"/>
            <w:tcBorders>
              <w:top w:val="nil"/>
              <w:left w:val="nil"/>
              <w:bottom w:val="single" w:sz="8" w:space="0" w:color="auto"/>
              <w:right w:val="single" w:sz="8" w:space="0" w:color="auto"/>
            </w:tcBorders>
            <w:shd w:val="clear" w:color="auto" w:fill="auto"/>
            <w:vAlign w:val="center"/>
            <w:hideMark/>
          </w:tcPr>
          <w:p w14:paraId="1BF1B3B9"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 xml:space="preserve">Secretaría de Bienestar, Tequio e Inclusión </w:t>
            </w:r>
          </w:p>
        </w:tc>
      </w:tr>
      <w:tr w:rsidR="00FD2DE6" w:rsidRPr="00FD2DE6" w14:paraId="34FA5E89" w14:textId="77777777" w:rsidTr="00E56EF6">
        <w:trPr>
          <w:trHeight w:val="242"/>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68438CD0"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Enlace Federal</w:t>
            </w:r>
          </w:p>
        </w:tc>
        <w:tc>
          <w:tcPr>
            <w:tcW w:w="4830" w:type="dxa"/>
            <w:tcBorders>
              <w:top w:val="nil"/>
              <w:left w:val="nil"/>
              <w:bottom w:val="single" w:sz="8" w:space="0" w:color="auto"/>
              <w:right w:val="single" w:sz="8" w:space="0" w:color="auto"/>
            </w:tcBorders>
            <w:shd w:val="clear" w:color="auto" w:fill="auto"/>
            <w:vAlign w:val="center"/>
            <w:hideMark/>
          </w:tcPr>
          <w:p w14:paraId="027DF3B0"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Secretaría de Gobierno</w:t>
            </w:r>
          </w:p>
        </w:tc>
      </w:tr>
      <w:tr w:rsidR="00FD2DE6" w:rsidRPr="00FD2DE6" w14:paraId="2BE9831F"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04097F13"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Relaciones Internacionales</w:t>
            </w:r>
          </w:p>
        </w:tc>
        <w:tc>
          <w:tcPr>
            <w:tcW w:w="4830" w:type="dxa"/>
            <w:tcBorders>
              <w:top w:val="nil"/>
              <w:left w:val="nil"/>
              <w:bottom w:val="single" w:sz="8" w:space="0" w:color="auto"/>
              <w:right w:val="single" w:sz="8" w:space="0" w:color="auto"/>
            </w:tcBorders>
            <w:shd w:val="clear" w:color="auto" w:fill="auto"/>
            <w:vAlign w:val="center"/>
            <w:hideMark/>
          </w:tcPr>
          <w:p w14:paraId="7B5CA316"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Ninguna</w:t>
            </w:r>
          </w:p>
        </w:tc>
      </w:tr>
      <w:tr w:rsidR="00FD2DE6" w:rsidRPr="00FD2DE6" w14:paraId="73B25F27" w14:textId="77777777" w:rsidTr="005C0A3B">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3858071E"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Oficina de Convenciones y Visitantes de Oaxaca “OCV Oaxaca”</w:t>
            </w:r>
          </w:p>
        </w:tc>
        <w:tc>
          <w:tcPr>
            <w:tcW w:w="4830" w:type="dxa"/>
            <w:tcBorders>
              <w:top w:val="nil"/>
              <w:left w:val="nil"/>
              <w:bottom w:val="single" w:sz="8" w:space="0" w:color="auto"/>
              <w:right w:val="single" w:sz="8" w:space="0" w:color="auto"/>
            </w:tcBorders>
            <w:shd w:val="clear" w:color="auto" w:fill="auto"/>
            <w:vAlign w:val="center"/>
            <w:hideMark/>
          </w:tcPr>
          <w:p w14:paraId="2415CEFC"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Secretaría de Administración</w:t>
            </w:r>
          </w:p>
        </w:tc>
      </w:tr>
      <w:tr w:rsidR="00FD2DE6" w:rsidRPr="00FD2DE6" w14:paraId="46EB3DC9" w14:textId="77777777" w:rsidTr="005C0A3B">
        <w:trPr>
          <w:trHeight w:val="242"/>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1CF9518F"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Dirección General de Población</w:t>
            </w:r>
          </w:p>
        </w:tc>
        <w:tc>
          <w:tcPr>
            <w:tcW w:w="483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23BA8E21"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Secretaria de Gobierno</w:t>
            </w:r>
          </w:p>
        </w:tc>
      </w:tr>
      <w:tr w:rsidR="00FD2DE6" w:rsidRPr="00FD2DE6" w14:paraId="7C8D1335" w14:textId="77777777" w:rsidTr="005C0A3B">
        <w:trPr>
          <w:trHeight w:val="475"/>
        </w:trPr>
        <w:tc>
          <w:tcPr>
            <w:tcW w:w="421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9AE31E5"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Instituto de Atención Integral al Migrante Oaxaqueño</w:t>
            </w:r>
          </w:p>
        </w:tc>
        <w:tc>
          <w:tcPr>
            <w:tcW w:w="4830" w:type="dxa"/>
            <w:vMerge/>
            <w:tcBorders>
              <w:top w:val="single" w:sz="8" w:space="0" w:color="000000"/>
              <w:left w:val="single" w:sz="8" w:space="0" w:color="auto"/>
              <w:bottom w:val="single" w:sz="4" w:space="0" w:color="auto"/>
              <w:right w:val="single" w:sz="8" w:space="0" w:color="auto"/>
            </w:tcBorders>
            <w:vAlign w:val="center"/>
            <w:hideMark/>
          </w:tcPr>
          <w:p w14:paraId="3ABCEAEB" w14:textId="77777777" w:rsidR="00362B39" w:rsidRPr="00FD2DE6" w:rsidRDefault="00362B39" w:rsidP="00362B39">
            <w:pPr>
              <w:rPr>
                <w:rFonts w:ascii="Montserrat" w:eastAsia="Times New Roman" w:hAnsi="Montserrat" w:cs="Times New Roman"/>
                <w:sz w:val="22"/>
                <w:szCs w:val="22"/>
                <w:lang w:val="es-MX"/>
              </w:rPr>
            </w:pPr>
          </w:p>
        </w:tc>
      </w:tr>
      <w:tr w:rsidR="00FD2DE6" w:rsidRPr="00FD2DE6" w14:paraId="59788B65" w14:textId="77777777" w:rsidTr="005C0A3B">
        <w:trPr>
          <w:trHeight w:val="475"/>
        </w:trPr>
        <w:tc>
          <w:tcPr>
            <w:tcW w:w="42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B26D04A"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lastRenderedPageBreak/>
              <w:t>Instituto Oaxaqueño de Emprendedor y de la Competitividad</w:t>
            </w:r>
          </w:p>
        </w:tc>
        <w:tc>
          <w:tcPr>
            <w:tcW w:w="483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B11806C" w14:textId="77777777" w:rsidR="00362B39" w:rsidRPr="00FD2DE6" w:rsidRDefault="00362B39" w:rsidP="005C0A3B">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Secretaria de Desarrollo Económico</w:t>
            </w:r>
          </w:p>
        </w:tc>
      </w:tr>
      <w:tr w:rsidR="00FD2DE6" w:rsidRPr="00FD2DE6" w14:paraId="05857743" w14:textId="77777777" w:rsidTr="00E56EF6">
        <w:trPr>
          <w:trHeight w:val="557"/>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00888B92"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Instituto para el Fomento y la Protección de las Artesanías</w:t>
            </w:r>
          </w:p>
        </w:tc>
        <w:tc>
          <w:tcPr>
            <w:tcW w:w="4830" w:type="dxa"/>
            <w:vMerge/>
            <w:tcBorders>
              <w:top w:val="nil"/>
              <w:left w:val="single" w:sz="8" w:space="0" w:color="auto"/>
              <w:bottom w:val="single" w:sz="8" w:space="0" w:color="000000"/>
              <w:right w:val="single" w:sz="8" w:space="0" w:color="auto"/>
            </w:tcBorders>
            <w:vAlign w:val="center"/>
            <w:hideMark/>
          </w:tcPr>
          <w:p w14:paraId="115F0668" w14:textId="77777777" w:rsidR="00362B39" w:rsidRPr="00FD2DE6" w:rsidRDefault="00362B39" w:rsidP="00362B39">
            <w:pPr>
              <w:rPr>
                <w:rFonts w:ascii="Montserrat" w:eastAsia="Times New Roman" w:hAnsi="Montserrat" w:cs="Times New Roman"/>
                <w:sz w:val="22"/>
                <w:szCs w:val="22"/>
                <w:lang w:val="es-MX"/>
              </w:rPr>
            </w:pPr>
          </w:p>
        </w:tc>
      </w:tr>
      <w:tr w:rsidR="00FD2DE6" w:rsidRPr="00FD2DE6" w14:paraId="39929E38" w14:textId="77777777" w:rsidTr="0099356A">
        <w:trPr>
          <w:trHeight w:val="709"/>
        </w:trPr>
        <w:tc>
          <w:tcPr>
            <w:tcW w:w="42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C3CFC26"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Educación Media Superior y Superior, Ciencia y Tecnología</w:t>
            </w:r>
          </w:p>
        </w:tc>
        <w:tc>
          <w:tcPr>
            <w:tcW w:w="483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AA225D7" w14:textId="77777777" w:rsidR="00362B39" w:rsidRPr="00FD2DE6" w:rsidRDefault="00362B39" w:rsidP="005C0A3B">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Secretaria de Educación Pública</w:t>
            </w:r>
          </w:p>
        </w:tc>
      </w:tr>
      <w:tr w:rsidR="00FD2DE6" w:rsidRPr="00FD2DE6" w14:paraId="50954E06" w14:textId="77777777" w:rsidTr="00E56EF6">
        <w:trPr>
          <w:trHeight w:val="709"/>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48CCA096"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Comisión Estatal para la Planeación de la Educación Superior en el Estado de Oaxaca</w:t>
            </w:r>
          </w:p>
        </w:tc>
        <w:tc>
          <w:tcPr>
            <w:tcW w:w="4830" w:type="dxa"/>
            <w:vMerge/>
            <w:tcBorders>
              <w:top w:val="nil"/>
              <w:left w:val="single" w:sz="8" w:space="0" w:color="auto"/>
              <w:bottom w:val="single" w:sz="8" w:space="0" w:color="000000"/>
              <w:right w:val="single" w:sz="8" w:space="0" w:color="auto"/>
            </w:tcBorders>
            <w:vAlign w:val="center"/>
            <w:hideMark/>
          </w:tcPr>
          <w:p w14:paraId="6D3976F4" w14:textId="77777777" w:rsidR="00362B39" w:rsidRPr="00FD2DE6" w:rsidRDefault="00362B39" w:rsidP="00362B39">
            <w:pPr>
              <w:rPr>
                <w:rFonts w:ascii="Montserrat" w:eastAsia="Times New Roman" w:hAnsi="Montserrat" w:cs="Times New Roman"/>
                <w:sz w:val="22"/>
                <w:szCs w:val="22"/>
                <w:lang w:val="es-MX"/>
              </w:rPr>
            </w:pPr>
          </w:p>
        </w:tc>
      </w:tr>
      <w:tr w:rsidR="00FD2DE6" w:rsidRPr="00FD2DE6" w14:paraId="6D6E56E5" w14:textId="77777777" w:rsidTr="00E56EF6">
        <w:trPr>
          <w:trHeight w:val="709"/>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0ADF1EDD"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Comisión Estatal para la Planeación y Programación de la Educación Media Superior en Estado de Oaxaca</w:t>
            </w:r>
          </w:p>
        </w:tc>
        <w:tc>
          <w:tcPr>
            <w:tcW w:w="4830" w:type="dxa"/>
            <w:vMerge/>
            <w:tcBorders>
              <w:top w:val="nil"/>
              <w:left w:val="single" w:sz="8" w:space="0" w:color="auto"/>
              <w:bottom w:val="single" w:sz="8" w:space="0" w:color="000000"/>
              <w:right w:val="single" w:sz="8" w:space="0" w:color="auto"/>
            </w:tcBorders>
            <w:vAlign w:val="center"/>
            <w:hideMark/>
          </w:tcPr>
          <w:p w14:paraId="2CAFC03B" w14:textId="77777777" w:rsidR="00362B39" w:rsidRPr="00FD2DE6" w:rsidRDefault="00362B39" w:rsidP="00362B39">
            <w:pPr>
              <w:rPr>
                <w:rFonts w:ascii="Montserrat" w:eastAsia="Times New Roman" w:hAnsi="Montserrat" w:cs="Times New Roman"/>
                <w:sz w:val="22"/>
                <w:szCs w:val="22"/>
                <w:lang w:val="es-MX"/>
              </w:rPr>
            </w:pPr>
          </w:p>
        </w:tc>
      </w:tr>
      <w:tr w:rsidR="00FD2DE6" w:rsidRPr="00FD2DE6" w14:paraId="5D9D9A55" w14:textId="77777777" w:rsidTr="00E56EF6">
        <w:trPr>
          <w:trHeight w:val="242"/>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3D0889A0"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Universidad Autónoma Comunal</w:t>
            </w:r>
          </w:p>
        </w:tc>
        <w:tc>
          <w:tcPr>
            <w:tcW w:w="4830" w:type="dxa"/>
            <w:tcBorders>
              <w:top w:val="nil"/>
              <w:left w:val="nil"/>
              <w:bottom w:val="single" w:sz="8" w:space="0" w:color="auto"/>
              <w:right w:val="single" w:sz="8" w:space="0" w:color="auto"/>
            </w:tcBorders>
            <w:shd w:val="clear" w:color="auto" w:fill="auto"/>
            <w:vAlign w:val="center"/>
            <w:hideMark/>
          </w:tcPr>
          <w:p w14:paraId="0B94917A"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Universidad Autónoma Comunal - OPD</w:t>
            </w:r>
          </w:p>
        </w:tc>
      </w:tr>
      <w:tr w:rsidR="00FD2DE6" w:rsidRPr="00FD2DE6" w14:paraId="09BC7075"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0236A4BF"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Jefatura de Gabinete</w:t>
            </w:r>
          </w:p>
        </w:tc>
        <w:tc>
          <w:tcPr>
            <w:tcW w:w="4830" w:type="dxa"/>
            <w:tcBorders>
              <w:top w:val="nil"/>
              <w:left w:val="nil"/>
              <w:bottom w:val="single" w:sz="8" w:space="0" w:color="auto"/>
              <w:right w:val="single" w:sz="8" w:space="0" w:color="auto"/>
            </w:tcBorders>
            <w:shd w:val="clear" w:color="auto" w:fill="auto"/>
            <w:vAlign w:val="center"/>
            <w:hideMark/>
          </w:tcPr>
          <w:p w14:paraId="055ADC27"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Ninguna</w:t>
            </w:r>
          </w:p>
        </w:tc>
      </w:tr>
    </w:tbl>
    <w:p w14:paraId="4D44D150" w14:textId="77777777" w:rsidR="00B0059B" w:rsidRPr="00FD2DE6" w:rsidRDefault="00B0059B" w:rsidP="00B0059B">
      <w:pPr>
        <w:tabs>
          <w:tab w:val="left" w:pos="7260"/>
        </w:tabs>
        <w:jc w:val="both"/>
        <w:rPr>
          <w:rFonts w:ascii="Montserrat" w:eastAsia="Times New Roman" w:hAnsi="Montserrat" w:cs="Arial"/>
        </w:rPr>
      </w:pPr>
    </w:p>
    <w:p w14:paraId="641ED5BC"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Bases para la Preparación de los Estados Financieros</w:t>
      </w:r>
    </w:p>
    <w:p w14:paraId="0DFA67D0" w14:textId="77777777" w:rsidR="00B0059B" w:rsidRPr="00FD2DE6" w:rsidRDefault="00B0059B" w:rsidP="00B0059B">
      <w:pPr>
        <w:pStyle w:val="Prrafodelista"/>
        <w:widowControl w:val="0"/>
        <w:ind w:left="426"/>
        <w:jc w:val="both"/>
        <w:rPr>
          <w:rFonts w:ascii="Montserrat" w:hAnsi="Montserrat"/>
          <w:b/>
          <w:sz w:val="24"/>
          <w:szCs w:val="24"/>
        </w:rPr>
      </w:pPr>
    </w:p>
    <w:p w14:paraId="5A6D5A39"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 xml:space="preserve">Normatividad emitida por el CONAC y las disposiciones legales aplicables </w:t>
      </w:r>
    </w:p>
    <w:p w14:paraId="302B175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FD2DE6" w:rsidRDefault="00B0059B" w:rsidP="00B0059B">
      <w:pPr>
        <w:tabs>
          <w:tab w:val="left" w:pos="426"/>
          <w:tab w:val="left" w:pos="7260"/>
        </w:tabs>
        <w:jc w:val="both"/>
        <w:rPr>
          <w:rFonts w:ascii="Montserrat" w:eastAsia="Times New Roman" w:hAnsi="Montserrat" w:cs="Arial"/>
        </w:rPr>
      </w:pPr>
    </w:p>
    <w:p w14:paraId="42C92998"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La Secretaría de Finanzas, en su carácter de normativa, integra y consolida la información contable de cada una de las Unidades Responsables de </w:t>
      </w:r>
      <w:r w:rsidRPr="00FD2DE6">
        <w:rPr>
          <w:rFonts w:ascii="Montserrat" w:eastAsia="Times New Roman" w:hAnsi="Montserrat" w:cs="Arial"/>
        </w:rPr>
        <w:lastRenderedPageBreak/>
        <w:t>registrar las operaciones que afectan el patrimonio del ente público, así mismo, la Secretaría de Finanzas, por medio del Consejo Estatal de Armonización Contable de Oaxaca (CEACO) difunde en su página digital los documentos emitidos por el CONAC, mismos que se encuentran implementados por parte del Poder Ejecutivo, siendo los siguientes:</w:t>
      </w:r>
    </w:p>
    <w:p w14:paraId="49FD5A71" w14:textId="77777777" w:rsidR="00B0059B" w:rsidRPr="00FD2DE6" w:rsidRDefault="00B0059B" w:rsidP="00B0059B">
      <w:pPr>
        <w:tabs>
          <w:tab w:val="left" w:pos="7260"/>
        </w:tabs>
        <w:jc w:val="both"/>
        <w:rPr>
          <w:rFonts w:ascii="Montserrat" w:eastAsia="Times New Roman" w:hAnsi="Montserrat" w:cs="Arial"/>
        </w:rPr>
      </w:pPr>
    </w:p>
    <w:p w14:paraId="17836BC2"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Marco Conceptual de Contabilidad Gubernamental.</w:t>
      </w:r>
    </w:p>
    <w:p w14:paraId="27C9A8A0"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Postulados básicos de Contabilidad Gubernamental.</w:t>
      </w:r>
    </w:p>
    <w:p w14:paraId="7E56CFF9"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Metodologías para la Determinación de los Momentos Contables de los Ingresos.</w:t>
      </w:r>
    </w:p>
    <w:p w14:paraId="2CB36E7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Objeto del Gasto (Capítulo, Concepto g Partida Genérica).</w:t>
      </w:r>
    </w:p>
    <w:p w14:paraId="1CDFCC20"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Tipo de Gasto.</w:t>
      </w:r>
    </w:p>
    <w:p w14:paraId="50A6A943"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Funcional del Gasto.</w:t>
      </w:r>
    </w:p>
    <w:p w14:paraId="24B84DAD"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Adecuaciones al Clasificador por Objeto de Gasto.</w:t>
      </w:r>
    </w:p>
    <w:p w14:paraId="4D88B39F"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Manual de Contabilidad Gubernamental.</w:t>
      </w:r>
    </w:p>
    <w:p w14:paraId="105FC96F"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Principales Reglas de Registro y Valoración del Patrimonio (Elementos Generales)</w:t>
      </w:r>
    </w:p>
    <w:p w14:paraId="45BF65A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Funcional del Gasto (Finalidad, Función y Subfunción)</w:t>
      </w:r>
    </w:p>
    <w:p w14:paraId="5AAC096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Administrativa,</w:t>
      </w:r>
    </w:p>
    <w:p w14:paraId="030A9702"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Lineamientos para la elaboración del Catálogo de Bienes que permita la interrelación automática con el Clasificador por Objeto del Gasto y la Lista de Cuentas.</w:t>
      </w:r>
    </w:p>
    <w:p w14:paraId="348B63A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dirigidos a asegurar que el Sistema de Contabilidad Gubernamental facilite el Registro y Control de los inventarios de los Bienes Muebles e Inmuebles de los Entes Públicos.</w:t>
      </w:r>
    </w:p>
    <w:p w14:paraId="627B4D5E"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Reglas Específicas del Registro y Valoración del Patrimonio.</w:t>
      </w:r>
    </w:p>
    <w:p w14:paraId="2F53FC7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Parámetros de Estimación de Vida Útil.</w:t>
      </w:r>
    </w:p>
    <w:p w14:paraId="36FFD017"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Fuentes de Financiamiento.</w:t>
      </w:r>
    </w:p>
    <w:p w14:paraId="180E0C31"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Norma para establecer la estructura del formato de la relación de bienes que compone el patrimonio del ente público. </w:t>
      </w:r>
    </w:p>
    <w:p w14:paraId="20D6811D"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Programática.</w:t>
      </w:r>
    </w:p>
    <w:p w14:paraId="6023FD3D" w14:textId="77777777" w:rsidR="00B0059B" w:rsidRPr="00FD2DE6" w:rsidRDefault="00B0059B" w:rsidP="00B0059B">
      <w:pPr>
        <w:tabs>
          <w:tab w:val="left" w:pos="7260"/>
        </w:tabs>
        <w:jc w:val="both"/>
        <w:rPr>
          <w:rFonts w:ascii="Montserrat" w:eastAsia="Times New Roman" w:hAnsi="Montserrat" w:cs="Arial"/>
        </w:rPr>
      </w:pPr>
    </w:p>
    <w:p w14:paraId="5FB706D8"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Postulados Básicos</w:t>
      </w:r>
    </w:p>
    <w:p w14:paraId="0B8E65B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FD2DE6" w:rsidRDefault="00E56EF6" w:rsidP="00B0059B">
      <w:pPr>
        <w:tabs>
          <w:tab w:val="left" w:pos="7260"/>
        </w:tabs>
        <w:jc w:val="both"/>
        <w:rPr>
          <w:rFonts w:ascii="Montserrat" w:eastAsia="Times New Roman" w:hAnsi="Montserrat" w:cs="Arial"/>
        </w:rPr>
      </w:pPr>
    </w:p>
    <w:p w14:paraId="77E8E4C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FD2DE6"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Sustancia Económica</w:t>
      </w:r>
    </w:p>
    <w:p w14:paraId="671BE2A6"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Entes Públicos</w:t>
      </w:r>
    </w:p>
    <w:p w14:paraId="33D2EED2"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Existencia Permanente</w:t>
      </w:r>
    </w:p>
    <w:p w14:paraId="3E20B313"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Revelación Suficiente</w:t>
      </w:r>
    </w:p>
    <w:p w14:paraId="0782B001"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Importancia Relativa</w:t>
      </w:r>
    </w:p>
    <w:p w14:paraId="3BA6D082"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Registro e Integración Presupuestaria</w:t>
      </w:r>
      <w:r w:rsidRPr="00FD2DE6">
        <w:rPr>
          <w:rFonts w:ascii="Montserrat" w:eastAsia="Times New Roman" w:hAnsi="Montserrat" w:cs="Arial"/>
          <w:sz w:val="24"/>
          <w:szCs w:val="24"/>
        </w:rPr>
        <w:tab/>
      </w:r>
    </w:p>
    <w:p w14:paraId="0999E345"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Consolidación de la Información Financiera</w:t>
      </w:r>
    </w:p>
    <w:p w14:paraId="6FB091F3"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Devengo Contable</w:t>
      </w:r>
    </w:p>
    <w:p w14:paraId="63DC06D8"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Valuación</w:t>
      </w:r>
    </w:p>
    <w:p w14:paraId="0AFF7825"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Dualidad Económica</w:t>
      </w:r>
    </w:p>
    <w:p w14:paraId="05B0D798"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Consistencia</w:t>
      </w:r>
    </w:p>
    <w:p w14:paraId="6C4BA5E0" w14:textId="77777777" w:rsidR="00B0059B" w:rsidRPr="00FD2DE6"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Normatividad supletoria:</w:t>
      </w:r>
    </w:p>
    <w:p w14:paraId="5FE8D82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Se informa que, para la emisión de los Estados Financieros, no se ha recurrido a normatividad supletoria.</w:t>
      </w:r>
    </w:p>
    <w:p w14:paraId="02B9A39F" w14:textId="77777777" w:rsidR="00B0059B" w:rsidRPr="00FD2DE6" w:rsidRDefault="00B0059B" w:rsidP="00B0059B">
      <w:pPr>
        <w:tabs>
          <w:tab w:val="left" w:pos="7260"/>
        </w:tabs>
        <w:jc w:val="both"/>
        <w:rPr>
          <w:rFonts w:ascii="Montserrat" w:eastAsia="Times New Roman" w:hAnsi="Montserrat" w:cs="Arial"/>
        </w:rPr>
      </w:pPr>
    </w:p>
    <w:p w14:paraId="26C6AE81" w14:textId="49E3A1AD"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Entidades que por primera vez estén implementando la base devengad</w:t>
      </w:r>
      <w:r w:rsidR="0099356A" w:rsidRPr="00FD2DE6">
        <w:rPr>
          <w:rFonts w:ascii="Montserrat" w:eastAsia="Times New Roman" w:hAnsi="Montserrat" w:cs="Arial"/>
          <w:sz w:val="24"/>
          <w:szCs w:val="24"/>
          <w:lang w:val="es-ES" w:eastAsia="es-MX"/>
        </w:rPr>
        <w:t>o</w:t>
      </w:r>
      <w:r w:rsidRPr="00FD2DE6">
        <w:rPr>
          <w:rFonts w:ascii="Montserrat" w:eastAsia="Times New Roman" w:hAnsi="Montserrat" w:cs="Arial"/>
          <w:sz w:val="24"/>
          <w:szCs w:val="24"/>
          <w:lang w:val="es-ES" w:eastAsia="es-MX"/>
        </w:rPr>
        <w:t>:</w:t>
      </w:r>
    </w:p>
    <w:p w14:paraId="2F2156F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Estado realizó la implementación de la base del ingreso y egreso devengado en el ejercicio fiscal 2012, por lo que no se encuentra en el supuesto citado en el presente inciso.</w:t>
      </w:r>
    </w:p>
    <w:p w14:paraId="2D132DBC" w14:textId="77777777" w:rsidR="00B0059B" w:rsidRPr="00FD2DE6" w:rsidRDefault="00B0059B" w:rsidP="00B0059B">
      <w:pPr>
        <w:tabs>
          <w:tab w:val="left" w:pos="7260"/>
        </w:tabs>
        <w:jc w:val="both"/>
        <w:rPr>
          <w:rFonts w:ascii="Montserrat" w:eastAsia="Times New Roman" w:hAnsi="Montserrat" w:cs="Arial"/>
        </w:rPr>
      </w:pPr>
    </w:p>
    <w:p w14:paraId="53CE4882"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Políticas de Contabilidad Significativas.</w:t>
      </w:r>
    </w:p>
    <w:p w14:paraId="2BC07A72" w14:textId="7EC0514B" w:rsidR="00B0059B" w:rsidRPr="00FD2DE6" w:rsidRDefault="00B0059B" w:rsidP="00B0059B">
      <w:pPr>
        <w:tabs>
          <w:tab w:val="left" w:pos="7260"/>
        </w:tabs>
        <w:jc w:val="both"/>
        <w:rPr>
          <w:rFonts w:ascii="Montserrat" w:eastAsia="Times New Roman" w:hAnsi="Montserrat" w:cs="Arial"/>
        </w:rPr>
      </w:pPr>
      <w:r w:rsidRPr="00CE204A">
        <w:rPr>
          <w:rFonts w:ascii="Montserrat" w:eastAsia="Times New Roman" w:hAnsi="Montserrat" w:cs="Arial"/>
        </w:rPr>
        <w:t>El Estados de Situación Financiera al 3</w:t>
      </w:r>
      <w:r w:rsidR="00D91901" w:rsidRPr="00CE204A">
        <w:rPr>
          <w:rFonts w:ascii="Montserrat" w:eastAsia="Times New Roman" w:hAnsi="Montserrat" w:cs="Arial"/>
        </w:rPr>
        <w:t>0</w:t>
      </w:r>
      <w:r w:rsidRPr="00CE204A">
        <w:rPr>
          <w:rFonts w:ascii="Montserrat" w:eastAsia="Times New Roman" w:hAnsi="Montserrat" w:cs="Arial"/>
        </w:rPr>
        <w:t xml:space="preserve"> de </w:t>
      </w:r>
      <w:r w:rsidR="005C0A3B">
        <w:rPr>
          <w:rFonts w:ascii="Montserrat" w:eastAsia="Times New Roman" w:hAnsi="Montserrat" w:cs="Arial"/>
        </w:rPr>
        <w:t>septiembre</w:t>
      </w:r>
      <w:r w:rsidRPr="00CE204A">
        <w:rPr>
          <w:rFonts w:ascii="Montserrat" w:eastAsia="Times New Roman" w:hAnsi="Montserrat" w:cs="Arial"/>
        </w:rPr>
        <w:t xml:space="preserve"> de 202</w:t>
      </w:r>
      <w:r w:rsidR="00D91901" w:rsidRPr="00CE204A">
        <w:rPr>
          <w:rFonts w:ascii="Montserrat" w:eastAsia="Times New Roman" w:hAnsi="Montserrat" w:cs="Arial"/>
        </w:rPr>
        <w:t>4</w:t>
      </w:r>
      <w:r w:rsidRPr="00CE204A">
        <w:rPr>
          <w:rFonts w:ascii="Montserrat" w:eastAsia="Times New Roman" w:hAnsi="Montserrat" w:cs="Arial"/>
        </w:rPr>
        <w:t>, el Estado de Actividades, el Estado de Variaciones en la Hacienda Pública y el Estado de Flujo de Efectivo, correspondientes al periodo del 01 de enero al 3</w:t>
      </w:r>
      <w:r w:rsidR="00D91901" w:rsidRPr="00CE204A">
        <w:rPr>
          <w:rFonts w:ascii="Montserrat" w:eastAsia="Times New Roman" w:hAnsi="Montserrat" w:cs="Arial"/>
        </w:rPr>
        <w:t>0</w:t>
      </w:r>
      <w:r w:rsidRPr="00CE204A">
        <w:rPr>
          <w:rFonts w:ascii="Montserrat" w:eastAsia="Times New Roman" w:hAnsi="Montserrat" w:cs="Arial"/>
        </w:rPr>
        <w:t xml:space="preserve"> de </w:t>
      </w:r>
      <w:r w:rsidR="005C0A3B">
        <w:rPr>
          <w:rFonts w:ascii="Montserrat" w:eastAsia="Times New Roman" w:hAnsi="Montserrat" w:cs="Arial"/>
        </w:rPr>
        <w:t>septiembre</w:t>
      </w:r>
      <w:r w:rsidRPr="00CE204A">
        <w:rPr>
          <w:rFonts w:ascii="Montserrat" w:eastAsia="Times New Roman" w:hAnsi="Montserrat" w:cs="Arial"/>
        </w:rPr>
        <w:t xml:space="preserve"> de 202</w:t>
      </w:r>
      <w:r w:rsidR="00D91901" w:rsidRPr="00CE204A">
        <w:rPr>
          <w:rFonts w:ascii="Montserrat" w:eastAsia="Times New Roman" w:hAnsi="Montserrat" w:cs="Arial"/>
        </w:rPr>
        <w:t>4</w:t>
      </w:r>
      <w:r w:rsidRPr="00CE204A">
        <w:rPr>
          <w:rFonts w:ascii="Montserrat" w:eastAsia="Times New Roman" w:hAnsi="Montserrat" w:cs="Arial"/>
        </w:rPr>
        <w:t>, fueron preparados y emitidos por dicho periodo, con la finalidad de dar cumplimiento a la disposición legal contenida en el artículo 81</w:t>
      </w:r>
      <w:r w:rsidRPr="00FD2DE6">
        <w:rPr>
          <w:rFonts w:ascii="Montserrat" w:eastAsia="Times New Roman" w:hAnsi="Montserrat" w:cs="Arial"/>
        </w:rPr>
        <w:t xml:space="preserve"> de la Ley Estatal de Presupuesto y Responsabilidad Hacendaria.</w:t>
      </w:r>
    </w:p>
    <w:p w14:paraId="12262B61" w14:textId="77777777" w:rsidR="00B0059B" w:rsidRPr="00FD2DE6" w:rsidRDefault="00B0059B" w:rsidP="00B0059B">
      <w:pPr>
        <w:tabs>
          <w:tab w:val="left" w:pos="7260"/>
        </w:tabs>
        <w:jc w:val="both"/>
        <w:rPr>
          <w:rFonts w:ascii="Montserrat" w:eastAsia="Times New Roman" w:hAnsi="Montserrat" w:cs="Arial"/>
        </w:rPr>
      </w:pPr>
    </w:p>
    <w:p w14:paraId="5D5AD20C"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Actualización</w:t>
      </w:r>
    </w:p>
    <w:p w14:paraId="0038FDD7" w14:textId="7AF4F909"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w:t>
      </w:r>
      <w:r w:rsidRPr="00FD2DE6">
        <w:rPr>
          <w:rFonts w:ascii="Montserrat" w:eastAsia="Times New Roman" w:hAnsi="Montserrat" w:cs="Arial"/>
        </w:rPr>
        <w:lastRenderedPageBreak/>
        <w:t>se suspendió el reconocimiento de los efectos de la inflación en la información financiera, situación que las cifras al 30 de septiembre de 202</w:t>
      </w:r>
      <w:r w:rsidR="005C0A3B">
        <w:rPr>
          <w:rFonts w:ascii="Montserrat" w:eastAsia="Times New Roman" w:hAnsi="Montserrat" w:cs="Arial"/>
        </w:rPr>
        <w:t>4</w:t>
      </w:r>
      <w:r w:rsidRPr="00FD2DE6">
        <w:rPr>
          <w:rFonts w:ascii="Montserrat" w:eastAsia="Times New Roman" w:hAnsi="Montserrat" w:cs="Arial"/>
        </w:rPr>
        <w:t xml:space="preserve"> de los estados financieros adjuntos, se presentan en pesos históricos.</w:t>
      </w:r>
    </w:p>
    <w:p w14:paraId="256ECEAA" w14:textId="77777777" w:rsidR="00B0059B" w:rsidRPr="00FD2DE6" w:rsidRDefault="00B0059B" w:rsidP="00B0059B">
      <w:pPr>
        <w:tabs>
          <w:tab w:val="left" w:pos="7260"/>
        </w:tabs>
        <w:jc w:val="both"/>
        <w:rPr>
          <w:rFonts w:ascii="Montserrat" w:eastAsia="Times New Roman" w:hAnsi="Montserrat" w:cs="Arial"/>
        </w:rPr>
      </w:pPr>
    </w:p>
    <w:p w14:paraId="26FB1405"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Operaciones en el Extranjero</w:t>
      </w:r>
    </w:p>
    <w:p w14:paraId="093BD7E4" w14:textId="6892EA61"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Gobierno del Estado de Oaxaca al 3</w:t>
      </w:r>
      <w:r w:rsidR="00E56EF6" w:rsidRPr="00FD2DE6">
        <w:rPr>
          <w:rFonts w:ascii="Montserrat" w:eastAsia="Times New Roman" w:hAnsi="Montserrat" w:cs="Arial"/>
        </w:rPr>
        <w:t>0</w:t>
      </w:r>
      <w:r w:rsidRPr="00FD2DE6">
        <w:rPr>
          <w:rFonts w:ascii="Montserrat" w:eastAsia="Times New Roman" w:hAnsi="Montserrat" w:cs="Arial"/>
        </w:rPr>
        <w:t xml:space="preserve"> de </w:t>
      </w:r>
      <w:r w:rsidR="005C0A3B">
        <w:rPr>
          <w:rFonts w:ascii="Montserrat" w:eastAsia="Times New Roman" w:hAnsi="Montserrat" w:cs="Arial"/>
        </w:rPr>
        <w:t>septiembre</w:t>
      </w:r>
      <w:r w:rsidR="00E56EF6" w:rsidRPr="00FD2DE6">
        <w:rPr>
          <w:rFonts w:ascii="Montserrat" w:eastAsia="Times New Roman" w:hAnsi="Montserrat" w:cs="Arial"/>
        </w:rPr>
        <w:t xml:space="preserve"> de 2024</w:t>
      </w:r>
      <w:r w:rsidRPr="00FD2DE6">
        <w:rPr>
          <w:rFonts w:ascii="Montserrat" w:eastAsia="Times New Roman" w:hAnsi="Montserrat" w:cs="Arial"/>
        </w:rPr>
        <w:t xml:space="preserve"> no cuenta con activos o recursos financieros en moneda extranjera.</w:t>
      </w:r>
    </w:p>
    <w:p w14:paraId="57D5F1A9" w14:textId="77777777" w:rsidR="00B0059B" w:rsidRPr="00FD2DE6" w:rsidRDefault="00B0059B" w:rsidP="00B0059B">
      <w:pPr>
        <w:tabs>
          <w:tab w:val="left" w:pos="7260"/>
        </w:tabs>
        <w:jc w:val="both"/>
        <w:rPr>
          <w:rFonts w:ascii="Montserrat" w:eastAsia="Times New Roman" w:hAnsi="Montserrat" w:cs="Arial"/>
        </w:rPr>
      </w:pPr>
    </w:p>
    <w:p w14:paraId="45A4C433"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Costo de Ventas</w:t>
      </w:r>
    </w:p>
    <w:p w14:paraId="5D07B04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FD2DE6" w:rsidRDefault="00B0059B" w:rsidP="00B0059B">
      <w:pPr>
        <w:tabs>
          <w:tab w:val="left" w:pos="7260"/>
        </w:tabs>
        <w:jc w:val="both"/>
        <w:rPr>
          <w:rFonts w:ascii="Montserrat" w:eastAsia="Times New Roman" w:hAnsi="Montserrat" w:cs="Arial"/>
        </w:rPr>
      </w:pPr>
    </w:p>
    <w:p w14:paraId="69FD69BD"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Patrimonio</w:t>
      </w:r>
    </w:p>
    <w:p w14:paraId="39CE61C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ahorros/desahorros acumulados se expresan a su costo histórico.</w:t>
      </w:r>
    </w:p>
    <w:p w14:paraId="3D89311C" w14:textId="77777777" w:rsidR="00B0059B" w:rsidRPr="00FD2DE6" w:rsidRDefault="00B0059B" w:rsidP="00B0059B">
      <w:pPr>
        <w:tabs>
          <w:tab w:val="left" w:pos="7260"/>
        </w:tabs>
        <w:jc w:val="both"/>
        <w:rPr>
          <w:rFonts w:ascii="Montserrat" w:eastAsia="Times New Roman" w:hAnsi="Montserrat" w:cs="Arial"/>
        </w:rPr>
      </w:pPr>
    </w:p>
    <w:p w14:paraId="532DCCA6"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Beneficios a Empleados</w:t>
      </w:r>
    </w:p>
    <w:p w14:paraId="1F10CF1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FD2DE6" w:rsidRDefault="00B0059B" w:rsidP="00B0059B">
      <w:pPr>
        <w:tabs>
          <w:tab w:val="left" w:pos="7260"/>
        </w:tabs>
        <w:jc w:val="both"/>
        <w:rPr>
          <w:rFonts w:ascii="Montserrat" w:eastAsia="Times New Roman" w:hAnsi="Montserrat" w:cs="Arial"/>
        </w:rPr>
      </w:pPr>
    </w:p>
    <w:p w14:paraId="28E61F3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FD2DE6" w:rsidRDefault="00B0059B" w:rsidP="00B0059B">
      <w:pPr>
        <w:tabs>
          <w:tab w:val="left" w:pos="7260"/>
        </w:tabs>
        <w:jc w:val="both"/>
        <w:rPr>
          <w:rFonts w:ascii="Montserrat" w:eastAsia="Times New Roman" w:hAnsi="Montserrat" w:cs="Arial"/>
        </w:rPr>
      </w:pPr>
    </w:p>
    <w:p w14:paraId="234CF139"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Provisiones</w:t>
      </w:r>
    </w:p>
    <w:p w14:paraId="59CED0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se tienen identificados conceptos o hechos de los cuales sea necesario el registro de provisiones.</w:t>
      </w:r>
    </w:p>
    <w:p w14:paraId="6E107356" w14:textId="77777777" w:rsidR="00B0059B" w:rsidRPr="00FD2DE6" w:rsidRDefault="00B0059B" w:rsidP="00B0059B">
      <w:pPr>
        <w:tabs>
          <w:tab w:val="left" w:pos="7260"/>
        </w:tabs>
        <w:jc w:val="both"/>
        <w:rPr>
          <w:rFonts w:ascii="Montserrat" w:eastAsia="Times New Roman" w:hAnsi="Montserrat" w:cs="Arial"/>
        </w:rPr>
      </w:pPr>
    </w:p>
    <w:p w14:paraId="0825AAAC"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Reservas</w:t>
      </w:r>
    </w:p>
    <w:p w14:paraId="281148D9" w14:textId="18CD229E" w:rsidR="0099356A"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No se tienen identificados conceptos o hechos de los cuales sea necesario el registro de reservas.</w:t>
      </w:r>
    </w:p>
    <w:p w14:paraId="4B9A5067" w14:textId="77777777" w:rsidR="005C0A3B" w:rsidRPr="00FD2DE6" w:rsidRDefault="005C0A3B" w:rsidP="00B0059B">
      <w:pPr>
        <w:tabs>
          <w:tab w:val="left" w:pos="7260"/>
        </w:tabs>
        <w:jc w:val="both"/>
        <w:rPr>
          <w:rFonts w:ascii="Montserrat" w:eastAsia="Times New Roman" w:hAnsi="Montserrat" w:cs="Arial"/>
        </w:rPr>
      </w:pPr>
    </w:p>
    <w:p w14:paraId="267A6438"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Cambio en Políticas Contables</w:t>
      </w:r>
    </w:p>
    <w:p w14:paraId="40637A4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existieron cambios en políticas contables que generaran un efecto relevante en la información financiera.</w:t>
      </w:r>
    </w:p>
    <w:p w14:paraId="4356F000" w14:textId="77777777" w:rsidR="00B0059B" w:rsidRPr="00FD2DE6" w:rsidRDefault="00B0059B" w:rsidP="00B0059B">
      <w:pPr>
        <w:tabs>
          <w:tab w:val="left" w:pos="7260"/>
        </w:tabs>
        <w:jc w:val="both"/>
        <w:rPr>
          <w:rFonts w:ascii="Montserrat" w:eastAsia="Times New Roman" w:hAnsi="Montserrat" w:cs="Arial"/>
        </w:rPr>
      </w:pPr>
    </w:p>
    <w:p w14:paraId="794213A7"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Reclasificaciones</w:t>
      </w:r>
    </w:p>
    <w:p w14:paraId="76F8DDD5" w14:textId="0A59A406"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En la Información financiera, </w:t>
      </w:r>
      <w:r w:rsidR="00A7045B" w:rsidRPr="00FD2DE6">
        <w:rPr>
          <w:rFonts w:ascii="Montserrat" w:eastAsia="Times New Roman" w:hAnsi="Montserrat" w:cs="Arial"/>
        </w:rPr>
        <w:t>a la fecha del presente trimestre,</w:t>
      </w:r>
      <w:r w:rsidRPr="00FD2DE6">
        <w:rPr>
          <w:rFonts w:ascii="Montserrat" w:eastAsia="Times New Roman" w:hAnsi="Montserrat" w:cs="Arial"/>
        </w:rPr>
        <w:t xml:space="preserve"> no tienen registros de movimientos entre cuentas por efectos de cambios en los tipos de operaciones.</w:t>
      </w:r>
    </w:p>
    <w:p w14:paraId="4463316F" w14:textId="77777777" w:rsidR="00B0059B" w:rsidRPr="00FD2DE6" w:rsidRDefault="00B0059B" w:rsidP="00B0059B">
      <w:pPr>
        <w:tabs>
          <w:tab w:val="left" w:pos="7260"/>
        </w:tabs>
        <w:jc w:val="both"/>
        <w:rPr>
          <w:rFonts w:ascii="Montserrat" w:eastAsia="Times New Roman" w:hAnsi="Montserrat" w:cs="Arial"/>
        </w:rPr>
      </w:pPr>
    </w:p>
    <w:p w14:paraId="2C6C4F4F"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Depuración y cancelación de saldos.</w:t>
      </w:r>
    </w:p>
    <w:p w14:paraId="522B5753" w14:textId="2119F874" w:rsidR="00B0059B" w:rsidRPr="00FD2DE6" w:rsidRDefault="00A7045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Durante el </w:t>
      </w:r>
      <w:r w:rsidR="005C0A3B">
        <w:rPr>
          <w:rFonts w:ascii="Montserrat" w:eastAsia="Times New Roman" w:hAnsi="Montserrat" w:cs="Arial"/>
        </w:rPr>
        <w:t>tercer</w:t>
      </w:r>
      <w:r w:rsidRPr="00FD2DE6">
        <w:rPr>
          <w:rFonts w:ascii="Montserrat" w:eastAsia="Times New Roman" w:hAnsi="Montserrat" w:cs="Arial"/>
        </w:rPr>
        <w:t xml:space="preserve"> semestre de 2024 no </w:t>
      </w:r>
      <w:r w:rsidR="00B0059B" w:rsidRPr="00FD2DE6">
        <w:rPr>
          <w:rFonts w:ascii="Montserrat" w:eastAsia="Times New Roman" w:hAnsi="Montserrat" w:cs="Arial"/>
        </w:rPr>
        <w:t>se</w:t>
      </w:r>
      <w:r w:rsidRPr="00FD2DE6">
        <w:rPr>
          <w:rFonts w:ascii="Montserrat" w:eastAsia="Times New Roman" w:hAnsi="Montserrat" w:cs="Arial"/>
        </w:rPr>
        <w:t xml:space="preserve"> han realizado</w:t>
      </w:r>
      <w:r w:rsidR="00B0059B" w:rsidRPr="00FD2DE6">
        <w:rPr>
          <w:rFonts w:ascii="Montserrat" w:eastAsia="Times New Roman" w:hAnsi="Montserrat" w:cs="Arial"/>
        </w:rPr>
        <w:t xml:space="preserve"> depuraciones y cancelación de cuentas contables</w:t>
      </w:r>
      <w:r w:rsidRPr="00FD2DE6">
        <w:rPr>
          <w:rFonts w:ascii="Montserrat" w:eastAsia="Times New Roman" w:hAnsi="Montserrat" w:cs="Arial"/>
        </w:rPr>
        <w:t>.</w:t>
      </w:r>
    </w:p>
    <w:p w14:paraId="63C1EBE2" w14:textId="77777777" w:rsidR="00B0059B" w:rsidRPr="00FD2DE6" w:rsidRDefault="00B0059B" w:rsidP="00B0059B">
      <w:pPr>
        <w:tabs>
          <w:tab w:val="left" w:pos="7260"/>
        </w:tabs>
        <w:jc w:val="both"/>
        <w:rPr>
          <w:rFonts w:ascii="Montserrat" w:eastAsia="Times New Roman" w:hAnsi="Montserrat" w:cs="Arial"/>
        </w:rPr>
      </w:pPr>
    </w:p>
    <w:p w14:paraId="21832A0D"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Posición en Moneda Extranjera y Protección por Riesgo Cambiario.</w:t>
      </w:r>
    </w:p>
    <w:p w14:paraId="3FF0EC3F" w14:textId="2771FAC9"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Gobierno del Estado de Oaxaca al 3</w:t>
      </w:r>
      <w:r w:rsidR="007F6B67" w:rsidRPr="00FD2DE6">
        <w:rPr>
          <w:rFonts w:ascii="Montserrat" w:eastAsia="Times New Roman" w:hAnsi="Montserrat" w:cs="Arial"/>
        </w:rPr>
        <w:t>0</w:t>
      </w:r>
      <w:r w:rsidRPr="00FD2DE6">
        <w:rPr>
          <w:rFonts w:ascii="Montserrat" w:eastAsia="Times New Roman" w:hAnsi="Montserrat" w:cs="Arial"/>
        </w:rPr>
        <w:t xml:space="preserve"> de </w:t>
      </w:r>
      <w:r w:rsidR="005C0A3B">
        <w:rPr>
          <w:rFonts w:ascii="Montserrat" w:eastAsia="Times New Roman" w:hAnsi="Montserrat" w:cs="Arial"/>
        </w:rPr>
        <w:t>septiembre</w:t>
      </w:r>
      <w:r w:rsidRPr="00FD2DE6">
        <w:rPr>
          <w:rFonts w:ascii="Montserrat" w:eastAsia="Times New Roman" w:hAnsi="Montserrat" w:cs="Arial"/>
        </w:rPr>
        <w:t xml:space="preserve"> de 202</w:t>
      </w:r>
      <w:r w:rsidR="007F6B67" w:rsidRPr="00FD2DE6">
        <w:rPr>
          <w:rFonts w:ascii="Montserrat" w:eastAsia="Times New Roman" w:hAnsi="Montserrat" w:cs="Arial"/>
        </w:rPr>
        <w:t>4</w:t>
      </w:r>
      <w:r w:rsidRPr="00FD2DE6">
        <w:rPr>
          <w:rFonts w:ascii="Montserrat" w:eastAsia="Times New Roman" w:hAnsi="Montserrat" w:cs="Arial"/>
        </w:rPr>
        <w:t xml:space="preserve"> no cuenta con activos o recursos financieros en moneda extranjera y como consecuencia no se cuenta con protección por riesgo cambiario,</w:t>
      </w:r>
    </w:p>
    <w:p w14:paraId="18A3F738" w14:textId="77777777" w:rsidR="00B0059B" w:rsidRPr="00FD2DE6" w:rsidRDefault="00B0059B" w:rsidP="00B0059B">
      <w:pPr>
        <w:tabs>
          <w:tab w:val="left" w:pos="7260"/>
        </w:tabs>
        <w:jc w:val="both"/>
        <w:rPr>
          <w:rFonts w:ascii="Montserrat" w:eastAsia="Times New Roman" w:hAnsi="Montserrat" w:cs="Arial"/>
        </w:rPr>
      </w:pPr>
    </w:p>
    <w:p w14:paraId="654FDA03"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Reporte Analítico del Activo</w:t>
      </w:r>
    </w:p>
    <w:p w14:paraId="436B878C" w14:textId="77777777" w:rsidR="00B0059B" w:rsidRPr="00FD2DE6" w:rsidRDefault="00B0059B" w:rsidP="00B0059B">
      <w:pPr>
        <w:pStyle w:val="Prrafodelista"/>
        <w:widowControl w:val="0"/>
        <w:ind w:left="426"/>
        <w:jc w:val="both"/>
        <w:rPr>
          <w:rFonts w:ascii="Montserrat" w:hAnsi="Montserrat"/>
          <w:b/>
          <w:sz w:val="24"/>
          <w:szCs w:val="24"/>
        </w:rPr>
      </w:pPr>
    </w:p>
    <w:p w14:paraId="0F3BD343"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registro del Activo se basa en lo estipulado en las Principales Reglas de Registro y Valoración del Patrimonio (Elementos Generales), las Reglas Específicas del Registro y Valoración del Patrimonio y la vida útil se considera de acuerdo con los Parámetros de Estimación de Vida Útil, normatividad emitida por el CONAC, publicados en el Diario Oficial de la Federación los días 08 de agosto de 2013, 27 de diciembre de 2017 y 15 de agosto de 2012 respectivamente, lo que sustenta las cifras reportadas en el Estado Analítico del Activo. Los años de vida útil pueden cambiar en aquellos bienes en que por razones de uso sea menor.</w:t>
      </w:r>
    </w:p>
    <w:p w14:paraId="63E2AD91" w14:textId="77777777" w:rsidR="00B0059B" w:rsidRPr="00FD2DE6" w:rsidRDefault="00B0059B" w:rsidP="00B0059B">
      <w:pPr>
        <w:pStyle w:val="Prrafodelista"/>
        <w:tabs>
          <w:tab w:val="left" w:pos="7260"/>
        </w:tabs>
        <w:ind w:left="567"/>
        <w:jc w:val="both"/>
        <w:rPr>
          <w:rFonts w:ascii="Montserrat" w:eastAsia="Times New Roman" w:hAnsi="Montserrat" w:cs="Arial"/>
          <w:sz w:val="24"/>
          <w:szCs w:val="24"/>
        </w:rPr>
      </w:pPr>
    </w:p>
    <w:p w14:paraId="0A297071"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lastRenderedPageBreak/>
        <w:t>Cambios en el porcentaje de depreciación y amortización y en el valor de los activos ocasionado por deterioro.</w:t>
      </w:r>
    </w:p>
    <w:p w14:paraId="72CB4D94" w14:textId="77777777" w:rsidR="00B0059B"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Default="005C0A3B" w:rsidP="00B0059B">
      <w:pPr>
        <w:tabs>
          <w:tab w:val="left" w:pos="7260"/>
        </w:tabs>
        <w:jc w:val="both"/>
        <w:rPr>
          <w:rFonts w:ascii="Montserrat" w:eastAsia="Times New Roman" w:hAnsi="Montserrat" w:cs="Arial"/>
        </w:rPr>
      </w:pPr>
    </w:p>
    <w:p w14:paraId="0286FF44" w14:textId="6AF3943F" w:rsidR="005C0A3B" w:rsidRPr="00FD2DE6" w:rsidRDefault="005C0A3B" w:rsidP="00B0059B">
      <w:pPr>
        <w:tabs>
          <w:tab w:val="left" w:pos="7260"/>
        </w:tabs>
        <w:jc w:val="both"/>
        <w:rPr>
          <w:rFonts w:ascii="Montserrat" w:eastAsia="Times New Roman" w:hAnsi="Montserrat" w:cs="Arial"/>
        </w:rPr>
      </w:pPr>
      <w:r>
        <w:rPr>
          <w:rFonts w:ascii="Montserrat" w:eastAsia="Times New Roman" w:hAnsi="Montserrat" w:cs="Arial"/>
        </w:rPr>
        <w:t xml:space="preserve">Se informa que al 30 de septiembre de 2024 no se han registrado las depreciaciones </w:t>
      </w:r>
      <w:r w:rsidR="003E76BA">
        <w:rPr>
          <w:rFonts w:ascii="Montserrat" w:eastAsia="Times New Roman" w:hAnsi="Montserrat" w:cs="Arial"/>
        </w:rPr>
        <w:t>de los bienes correspondiente al primer semestre del 2024, toda vez que la Dirección de Patrimonio ha estado trabajando con la actualización del Sistema Integral de Inventarios del Estado de Oaxaca, SIIO y los reportes se están validando,</w:t>
      </w:r>
    </w:p>
    <w:p w14:paraId="7C6C1F3F" w14:textId="77777777" w:rsidR="00B0059B" w:rsidRPr="00FD2DE6" w:rsidRDefault="00B0059B" w:rsidP="00B0059B">
      <w:pPr>
        <w:tabs>
          <w:tab w:val="left" w:pos="7260"/>
        </w:tabs>
        <w:jc w:val="both"/>
        <w:rPr>
          <w:rFonts w:ascii="Montserrat" w:eastAsia="Times New Roman" w:hAnsi="Montserrat" w:cs="Arial"/>
        </w:rPr>
      </w:pPr>
    </w:p>
    <w:p w14:paraId="5AF7B716"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el periodo que se informa no se han realizado registros contables para capitalizar gasto financiero ni de investigación y desarrollo.</w:t>
      </w:r>
    </w:p>
    <w:p w14:paraId="2D72596E" w14:textId="77777777" w:rsidR="00B0059B" w:rsidRPr="00FD2DE6" w:rsidRDefault="00B0059B" w:rsidP="00B0059B">
      <w:pPr>
        <w:tabs>
          <w:tab w:val="left" w:pos="7260"/>
        </w:tabs>
        <w:jc w:val="both"/>
        <w:rPr>
          <w:rFonts w:ascii="Montserrat" w:eastAsia="Times New Roman" w:hAnsi="Montserrat" w:cs="Arial"/>
        </w:rPr>
      </w:pPr>
    </w:p>
    <w:p w14:paraId="16DDAA34"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Riesgos por tipo de cambio o tipo de interés de las inversiones financieras.</w:t>
      </w:r>
    </w:p>
    <w:p w14:paraId="50D74D2E" w14:textId="19841792"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Al cierre del ejercicio, la cuenta de Inversiones Financieras a largo plazo presenta un saldo de </w:t>
      </w:r>
      <w:r w:rsidR="00D71A7E" w:rsidRPr="00FD2DE6">
        <w:rPr>
          <w:rFonts w:ascii="Montserrat" w:eastAsia="Times New Roman" w:hAnsi="Montserrat" w:cs="Arial"/>
        </w:rPr>
        <w:t>2,0</w:t>
      </w:r>
      <w:r w:rsidR="003E76BA">
        <w:rPr>
          <w:rFonts w:ascii="Montserrat" w:eastAsia="Times New Roman" w:hAnsi="Montserrat" w:cs="Arial"/>
        </w:rPr>
        <w:t>64.6</w:t>
      </w:r>
      <w:r w:rsidRPr="00FD2DE6">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FD2DE6" w:rsidRDefault="00B0059B" w:rsidP="00B0059B">
      <w:pPr>
        <w:tabs>
          <w:tab w:val="left" w:pos="7260"/>
        </w:tabs>
        <w:jc w:val="both"/>
        <w:rPr>
          <w:rFonts w:ascii="Montserrat" w:eastAsia="Times New Roman" w:hAnsi="Montserrat" w:cs="Arial"/>
        </w:rPr>
      </w:pPr>
    </w:p>
    <w:p w14:paraId="3E8637FB" w14:textId="77777777" w:rsidR="00B0059B" w:rsidRPr="00FD2DE6" w:rsidRDefault="00B0059B" w:rsidP="003E76BA">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lastRenderedPageBreak/>
        <w:t>Valor en el ejercicio de los bienes construidos por la entidad.</w:t>
      </w:r>
    </w:p>
    <w:p w14:paraId="3E1E801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Gobierno del Estado no realiza obra propia ni construye bienes inmuebles para su propiedad.</w:t>
      </w:r>
    </w:p>
    <w:p w14:paraId="3325898A" w14:textId="77777777" w:rsidR="00B0059B" w:rsidRPr="00FD2DE6" w:rsidRDefault="00B0059B" w:rsidP="00B0059B">
      <w:pPr>
        <w:tabs>
          <w:tab w:val="left" w:pos="7260"/>
        </w:tabs>
        <w:jc w:val="both"/>
        <w:rPr>
          <w:rFonts w:ascii="Montserrat" w:eastAsia="Times New Roman" w:hAnsi="Montserrat" w:cs="Arial"/>
        </w:rPr>
      </w:pPr>
    </w:p>
    <w:p w14:paraId="421A4508"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04D70BD7" w14:textId="676DE9A9"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la fecha de los estados financieros, no se identifica alguna circunstancia que afecte el activo.</w:t>
      </w:r>
    </w:p>
    <w:p w14:paraId="48EDF8F8" w14:textId="77777777" w:rsidR="00B0059B" w:rsidRPr="00FD2DE6" w:rsidRDefault="00B0059B" w:rsidP="00B0059B">
      <w:pPr>
        <w:tabs>
          <w:tab w:val="left" w:pos="7260"/>
        </w:tabs>
        <w:jc w:val="both"/>
        <w:rPr>
          <w:rFonts w:ascii="Montserrat" w:eastAsia="Times New Roman" w:hAnsi="Montserrat" w:cs="Arial"/>
        </w:rPr>
      </w:pPr>
    </w:p>
    <w:p w14:paraId="6C750EF8"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Desmantelamiento de activos, procedimientos, implicaciones, efectos contables.</w:t>
      </w:r>
    </w:p>
    <w:p w14:paraId="61CC27DE" w14:textId="3D9C7465" w:rsidR="00B0059B" w:rsidRPr="00FD2DE6" w:rsidRDefault="00D56D92"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Se informa que al 30 de </w:t>
      </w:r>
      <w:r w:rsidR="00B9559F">
        <w:rPr>
          <w:rFonts w:ascii="Montserrat" w:eastAsia="Times New Roman" w:hAnsi="Montserrat" w:cs="Arial"/>
        </w:rPr>
        <w:t>septiembre</w:t>
      </w:r>
      <w:r w:rsidR="00B0059B" w:rsidRPr="00FD2DE6">
        <w:rPr>
          <w:rFonts w:ascii="Montserrat" w:eastAsia="Times New Roman" w:hAnsi="Montserrat" w:cs="Arial"/>
        </w:rPr>
        <w:t xml:space="preserve"> de 2024 el Poder Ejecutivo no ha realizado procedimientos para desmantelar activos.</w:t>
      </w:r>
    </w:p>
    <w:p w14:paraId="70225F84" w14:textId="77777777" w:rsidR="00B0059B" w:rsidRPr="00FD2DE6" w:rsidRDefault="00B0059B" w:rsidP="00B0059B">
      <w:pPr>
        <w:tabs>
          <w:tab w:val="left" w:pos="7260"/>
        </w:tabs>
        <w:jc w:val="both"/>
        <w:rPr>
          <w:rFonts w:ascii="Montserrat" w:eastAsia="Times New Roman" w:hAnsi="Montserrat" w:cs="Arial"/>
        </w:rPr>
      </w:pPr>
    </w:p>
    <w:p w14:paraId="71B72C0F"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Administración de activos; planeación con el objetivo de que el ente los utilice de manera más efectiva.</w:t>
      </w:r>
    </w:p>
    <w:p w14:paraId="1B2224E0"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Adicionalmente, se informa de las principales variaciones en el activo, en cuadros comparativos como sigue:</w:t>
      </w:r>
    </w:p>
    <w:p w14:paraId="3FF722E7" w14:textId="77777777" w:rsidR="00EE01B3" w:rsidRPr="00FD2DE6" w:rsidRDefault="00EE01B3" w:rsidP="00B0059B">
      <w:pPr>
        <w:tabs>
          <w:tab w:val="left" w:pos="7260"/>
        </w:tabs>
        <w:jc w:val="both"/>
        <w:rPr>
          <w:rFonts w:ascii="Montserrat" w:eastAsia="Times New Roman" w:hAnsi="Montserrat" w:cs="Arial"/>
        </w:rPr>
      </w:pPr>
    </w:p>
    <w:p w14:paraId="3ABDCF1B" w14:textId="77777777" w:rsidR="00B0059B"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Inversiones en valores.</w:t>
      </w:r>
    </w:p>
    <w:tbl>
      <w:tblPr>
        <w:tblW w:w="8920" w:type="dxa"/>
        <w:tblCellMar>
          <w:left w:w="70" w:type="dxa"/>
          <w:right w:w="70" w:type="dxa"/>
        </w:tblCellMar>
        <w:tblLook w:val="04A0" w:firstRow="1" w:lastRow="0" w:firstColumn="1" w:lastColumn="0" w:noHBand="0" w:noVBand="1"/>
      </w:tblPr>
      <w:tblGrid>
        <w:gridCol w:w="1260"/>
        <w:gridCol w:w="2173"/>
        <w:gridCol w:w="1859"/>
        <w:gridCol w:w="1818"/>
        <w:gridCol w:w="1810"/>
      </w:tblGrid>
      <w:tr w:rsidR="00C953B4" w:rsidRPr="00076F11" w14:paraId="5205FD14" w14:textId="77777777" w:rsidTr="00C953B4">
        <w:trPr>
          <w:trHeight w:val="595"/>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03115" w14:textId="77777777" w:rsidR="00076F11" w:rsidRPr="00076F11" w:rsidRDefault="00076F11" w:rsidP="00076F11">
            <w:pPr>
              <w:jc w:val="center"/>
              <w:rPr>
                <w:rFonts w:ascii="Montserrat" w:eastAsia="Times New Roman" w:hAnsi="Montserrat" w:cs="Calibri"/>
                <w:color w:val="000000"/>
                <w:sz w:val="18"/>
                <w:szCs w:val="18"/>
                <w:lang w:val="es-MX"/>
              </w:rPr>
            </w:pPr>
            <w:r w:rsidRPr="00076F11">
              <w:rPr>
                <w:rFonts w:ascii="Montserrat" w:eastAsia="Times New Roman" w:hAnsi="Montserrat" w:cs="Calibri"/>
                <w:color w:val="000000"/>
                <w:sz w:val="18"/>
                <w:szCs w:val="18"/>
                <w:lang w:val="es-MX"/>
              </w:rPr>
              <w:t>Cuenta</w:t>
            </w:r>
          </w:p>
        </w:tc>
        <w:tc>
          <w:tcPr>
            <w:tcW w:w="2637" w:type="dxa"/>
            <w:tcBorders>
              <w:top w:val="single" w:sz="4" w:space="0" w:color="auto"/>
              <w:left w:val="nil"/>
              <w:bottom w:val="single" w:sz="4" w:space="0" w:color="auto"/>
              <w:right w:val="single" w:sz="4" w:space="0" w:color="auto"/>
            </w:tcBorders>
            <w:shd w:val="clear" w:color="auto" w:fill="auto"/>
            <w:vAlign w:val="center"/>
            <w:hideMark/>
          </w:tcPr>
          <w:p w14:paraId="3F77AFEC" w14:textId="77777777" w:rsidR="00076F11" w:rsidRPr="00076F11" w:rsidRDefault="00076F11" w:rsidP="00076F11">
            <w:pPr>
              <w:jc w:val="center"/>
              <w:rPr>
                <w:rFonts w:ascii="Montserrat" w:eastAsia="Times New Roman" w:hAnsi="Montserrat" w:cs="Calibri"/>
                <w:color w:val="000000"/>
                <w:sz w:val="18"/>
                <w:szCs w:val="18"/>
                <w:lang w:val="es-MX"/>
              </w:rPr>
            </w:pPr>
            <w:r w:rsidRPr="00076F11">
              <w:rPr>
                <w:rFonts w:ascii="Montserrat" w:eastAsia="Times New Roman" w:hAnsi="Montserrat" w:cs="Calibri"/>
                <w:color w:val="000000"/>
                <w:sz w:val="18"/>
                <w:szCs w:val="18"/>
                <w:lang w:val="es-MX"/>
              </w:rPr>
              <w:t>Descripción</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DA4BA89" w14:textId="77777777" w:rsidR="00076F11" w:rsidRPr="00076F11" w:rsidRDefault="00076F11" w:rsidP="00076F11">
            <w:pPr>
              <w:jc w:val="center"/>
              <w:rPr>
                <w:rFonts w:ascii="Montserrat" w:eastAsia="Times New Roman" w:hAnsi="Montserrat" w:cs="Calibri"/>
                <w:color w:val="000000"/>
                <w:sz w:val="18"/>
                <w:szCs w:val="18"/>
                <w:lang w:val="es-MX"/>
              </w:rPr>
            </w:pPr>
            <w:r w:rsidRPr="00076F11">
              <w:rPr>
                <w:rFonts w:ascii="Montserrat" w:eastAsia="Times New Roman" w:hAnsi="Montserrat" w:cs="Calibri"/>
                <w:color w:val="000000"/>
                <w:sz w:val="18"/>
                <w:szCs w:val="18"/>
                <w:lang w:val="es-MX"/>
              </w:rPr>
              <w:t>Saldo al 31 de diciembre de 2023</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639516C0" w14:textId="77777777" w:rsidR="00076F11" w:rsidRPr="00076F11" w:rsidRDefault="00076F11" w:rsidP="00076F11">
            <w:pPr>
              <w:jc w:val="center"/>
              <w:rPr>
                <w:rFonts w:ascii="Montserrat" w:eastAsia="Times New Roman" w:hAnsi="Montserrat" w:cs="Calibri"/>
                <w:color w:val="000000"/>
                <w:sz w:val="18"/>
                <w:szCs w:val="18"/>
                <w:lang w:val="es-MX"/>
              </w:rPr>
            </w:pPr>
            <w:r w:rsidRPr="00076F11">
              <w:rPr>
                <w:rFonts w:ascii="Montserrat" w:eastAsia="Times New Roman" w:hAnsi="Montserrat" w:cs="Calibri"/>
                <w:color w:val="000000"/>
                <w:sz w:val="18"/>
                <w:szCs w:val="18"/>
                <w:lang w:val="es-MX"/>
              </w:rPr>
              <w:t>Saldo al 30 de septiembre de 2024</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14:paraId="69969CB0" w14:textId="77777777" w:rsidR="00076F11" w:rsidRPr="00076F11" w:rsidRDefault="00076F11" w:rsidP="00076F11">
            <w:pPr>
              <w:jc w:val="center"/>
              <w:rPr>
                <w:rFonts w:ascii="Montserrat" w:eastAsia="Times New Roman" w:hAnsi="Montserrat" w:cs="Calibri"/>
                <w:color w:val="000000"/>
                <w:sz w:val="18"/>
                <w:szCs w:val="18"/>
                <w:lang w:val="es-MX"/>
              </w:rPr>
            </w:pPr>
            <w:r w:rsidRPr="00076F11">
              <w:rPr>
                <w:rFonts w:ascii="Montserrat" w:eastAsia="Times New Roman" w:hAnsi="Montserrat" w:cs="Calibri"/>
                <w:color w:val="000000"/>
                <w:sz w:val="18"/>
                <w:szCs w:val="18"/>
                <w:lang w:val="es-MX"/>
              </w:rPr>
              <w:t>Diferencia</w:t>
            </w:r>
          </w:p>
        </w:tc>
      </w:tr>
      <w:tr w:rsidR="00C953B4" w:rsidRPr="00076F11" w14:paraId="73B098B6" w14:textId="77777777" w:rsidTr="00C953B4">
        <w:trPr>
          <w:trHeight w:val="300"/>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4ACACCBE"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1.1.1.4.1</w:t>
            </w:r>
          </w:p>
        </w:tc>
        <w:tc>
          <w:tcPr>
            <w:tcW w:w="2637" w:type="dxa"/>
            <w:tcBorders>
              <w:top w:val="nil"/>
              <w:left w:val="nil"/>
              <w:bottom w:val="single" w:sz="4" w:space="0" w:color="auto"/>
              <w:right w:val="single" w:sz="4" w:space="0" w:color="auto"/>
            </w:tcBorders>
            <w:shd w:val="clear" w:color="auto" w:fill="auto"/>
            <w:vAlign w:val="center"/>
            <w:hideMark/>
          </w:tcPr>
          <w:p w14:paraId="611D851D"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INVERSIONES EN MONEDA NACIONAL CP</w:t>
            </w:r>
          </w:p>
        </w:tc>
        <w:tc>
          <w:tcPr>
            <w:tcW w:w="1328" w:type="dxa"/>
            <w:tcBorders>
              <w:top w:val="nil"/>
              <w:left w:val="nil"/>
              <w:bottom w:val="single" w:sz="4" w:space="0" w:color="auto"/>
              <w:right w:val="single" w:sz="4" w:space="0" w:color="auto"/>
            </w:tcBorders>
            <w:shd w:val="clear" w:color="auto" w:fill="auto"/>
            <w:vAlign w:val="center"/>
            <w:hideMark/>
          </w:tcPr>
          <w:p w14:paraId="44889F8C"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3,033,899,206.82</w:t>
            </w:r>
          </w:p>
        </w:tc>
        <w:tc>
          <w:tcPr>
            <w:tcW w:w="1818" w:type="dxa"/>
            <w:tcBorders>
              <w:top w:val="nil"/>
              <w:left w:val="nil"/>
              <w:bottom w:val="single" w:sz="4" w:space="0" w:color="auto"/>
              <w:right w:val="single" w:sz="4" w:space="0" w:color="auto"/>
            </w:tcBorders>
            <w:shd w:val="clear" w:color="auto" w:fill="auto"/>
            <w:vAlign w:val="center"/>
            <w:hideMark/>
          </w:tcPr>
          <w:p w14:paraId="485D9AEC"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8,037,895,309.15</w:t>
            </w:r>
          </w:p>
        </w:tc>
        <w:tc>
          <w:tcPr>
            <w:tcW w:w="1810" w:type="dxa"/>
            <w:tcBorders>
              <w:top w:val="nil"/>
              <w:left w:val="nil"/>
              <w:bottom w:val="single" w:sz="4" w:space="0" w:color="auto"/>
              <w:right w:val="single" w:sz="4" w:space="0" w:color="auto"/>
            </w:tcBorders>
            <w:shd w:val="clear" w:color="auto" w:fill="auto"/>
            <w:vAlign w:val="center"/>
            <w:hideMark/>
          </w:tcPr>
          <w:p w14:paraId="4A0D1A23"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5,003,996,102.33</w:t>
            </w:r>
          </w:p>
        </w:tc>
      </w:tr>
      <w:tr w:rsidR="00C953B4" w:rsidRPr="00076F11" w14:paraId="715CA4AC" w14:textId="77777777" w:rsidTr="00C953B4">
        <w:trPr>
          <w:trHeight w:val="300"/>
        </w:trPr>
        <w:tc>
          <w:tcPr>
            <w:tcW w:w="1327" w:type="dxa"/>
            <w:tcBorders>
              <w:top w:val="nil"/>
              <w:left w:val="single" w:sz="4" w:space="0" w:color="auto"/>
              <w:bottom w:val="single" w:sz="4" w:space="0" w:color="auto"/>
              <w:right w:val="single" w:sz="4" w:space="0" w:color="auto"/>
            </w:tcBorders>
            <w:shd w:val="clear" w:color="auto" w:fill="auto"/>
            <w:vAlign w:val="bottom"/>
            <w:hideMark/>
          </w:tcPr>
          <w:p w14:paraId="58DF82D0"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1.1.1.4.1.001</w:t>
            </w:r>
          </w:p>
        </w:tc>
        <w:tc>
          <w:tcPr>
            <w:tcW w:w="2637" w:type="dxa"/>
            <w:tcBorders>
              <w:top w:val="nil"/>
              <w:left w:val="nil"/>
              <w:bottom w:val="single" w:sz="4" w:space="0" w:color="auto"/>
              <w:right w:val="single" w:sz="4" w:space="0" w:color="auto"/>
            </w:tcBorders>
            <w:shd w:val="clear" w:color="auto" w:fill="auto"/>
            <w:vAlign w:val="bottom"/>
            <w:hideMark/>
          </w:tcPr>
          <w:p w14:paraId="11AA59C8"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BANAMEX</w:t>
            </w:r>
          </w:p>
        </w:tc>
        <w:tc>
          <w:tcPr>
            <w:tcW w:w="1328" w:type="dxa"/>
            <w:tcBorders>
              <w:top w:val="nil"/>
              <w:left w:val="nil"/>
              <w:bottom w:val="single" w:sz="4" w:space="0" w:color="auto"/>
              <w:right w:val="single" w:sz="4" w:space="0" w:color="auto"/>
            </w:tcBorders>
            <w:shd w:val="clear" w:color="auto" w:fill="auto"/>
            <w:vAlign w:val="bottom"/>
            <w:hideMark/>
          </w:tcPr>
          <w:p w14:paraId="4F42F691"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382,199,764.94</w:t>
            </w:r>
          </w:p>
        </w:tc>
        <w:tc>
          <w:tcPr>
            <w:tcW w:w="1818" w:type="dxa"/>
            <w:tcBorders>
              <w:top w:val="nil"/>
              <w:left w:val="nil"/>
              <w:bottom w:val="single" w:sz="4" w:space="0" w:color="auto"/>
              <w:right w:val="single" w:sz="4" w:space="0" w:color="auto"/>
            </w:tcBorders>
            <w:shd w:val="clear" w:color="auto" w:fill="auto"/>
            <w:vAlign w:val="bottom"/>
            <w:hideMark/>
          </w:tcPr>
          <w:p w14:paraId="56F9F942"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2,185,498,891.01</w:t>
            </w:r>
          </w:p>
        </w:tc>
        <w:tc>
          <w:tcPr>
            <w:tcW w:w="1810" w:type="dxa"/>
            <w:tcBorders>
              <w:top w:val="nil"/>
              <w:left w:val="nil"/>
              <w:bottom w:val="single" w:sz="4" w:space="0" w:color="auto"/>
              <w:right w:val="single" w:sz="4" w:space="0" w:color="auto"/>
            </w:tcBorders>
            <w:shd w:val="clear" w:color="auto" w:fill="auto"/>
            <w:vAlign w:val="bottom"/>
            <w:hideMark/>
          </w:tcPr>
          <w:p w14:paraId="4EDC37FC"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1,803,299,126.07</w:t>
            </w:r>
          </w:p>
        </w:tc>
      </w:tr>
      <w:tr w:rsidR="00C953B4" w:rsidRPr="00076F11" w14:paraId="4C36F5C3" w14:textId="77777777" w:rsidTr="00C953B4">
        <w:trPr>
          <w:trHeight w:val="300"/>
        </w:trPr>
        <w:tc>
          <w:tcPr>
            <w:tcW w:w="1327" w:type="dxa"/>
            <w:tcBorders>
              <w:top w:val="nil"/>
              <w:left w:val="single" w:sz="4" w:space="0" w:color="auto"/>
              <w:bottom w:val="single" w:sz="4" w:space="0" w:color="auto"/>
              <w:right w:val="single" w:sz="4" w:space="0" w:color="auto"/>
            </w:tcBorders>
            <w:shd w:val="clear" w:color="auto" w:fill="auto"/>
            <w:vAlign w:val="bottom"/>
            <w:hideMark/>
          </w:tcPr>
          <w:p w14:paraId="0A264A6E"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1.1.1.4.1.002</w:t>
            </w:r>
          </w:p>
        </w:tc>
        <w:tc>
          <w:tcPr>
            <w:tcW w:w="2637" w:type="dxa"/>
            <w:tcBorders>
              <w:top w:val="nil"/>
              <w:left w:val="nil"/>
              <w:bottom w:val="single" w:sz="4" w:space="0" w:color="auto"/>
              <w:right w:val="single" w:sz="4" w:space="0" w:color="auto"/>
            </w:tcBorders>
            <w:shd w:val="clear" w:color="auto" w:fill="auto"/>
            <w:vAlign w:val="bottom"/>
            <w:hideMark/>
          </w:tcPr>
          <w:p w14:paraId="7A021FD2"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BBVA BANCOMER, S.A.</w:t>
            </w:r>
          </w:p>
        </w:tc>
        <w:tc>
          <w:tcPr>
            <w:tcW w:w="1328" w:type="dxa"/>
            <w:tcBorders>
              <w:top w:val="nil"/>
              <w:left w:val="nil"/>
              <w:bottom w:val="single" w:sz="4" w:space="0" w:color="auto"/>
              <w:right w:val="single" w:sz="4" w:space="0" w:color="auto"/>
            </w:tcBorders>
            <w:shd w:val="clear" w:color="auto" w:fill="auto"/>
            <w:vAlign w:val="bottom"/>
            <w:hideMark/>
          </w:tcPr>
          <w:p w14:paraId="3E8BAE87"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436,524,822.83</w:t>
            </w:r>
          </w:p>
        </w:tc>
        <w:tc>
          <w:tcPr>
            <w:tcW w:w="1818" w:type="dxa"/>
            <w:tcBorders>
              <w:top w:val="nil"/>
              <w:left w:val="nil"/>
              <w:bottom w:val="single" w:sz="4" w:space="0" w:color="auto"/>
              <w:right w:val="single" w:sz="4" w:space="0" w:color="auto"/>
            </w:tcBorders>
            <w:shd w:val="clear" w:color="auto" w:fill="auto"/>
            <w:vAlign w:val="bottom"/>
            <w:hideMark/>
          </w:tcPr>
          <w:p w14:paraId="0FB358F9"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812,929,814.92</w:t>
            </w:r>
          </w:p>
        </w:tc>
        <w:tc>
          <w:tcPr>
            <w:tcW w:w="1810" w:type="dxa"/>
            <w:tcBorders>
              <w:top w:val="nil"/>
              <w:left w:val="nil"/>
              <w:bottom w:val="single" w:sz="4" w:space="0" w:color="auto"/>
              <w:right w:val="single" w:sz="4" w:space="0" w:color="auto"/>
            </w:tcBorders>
            <w:shd w:val="clear" w:color="auto" w:fill="auto"/>
            <w:vAlign w:val="bottom"/>
            <w:hideMark/>
          </w:tcPr>
          <w:p w14:paraId="6E68F975"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376,404,992.09</w:t>
            </w:r>
          </w:p>
        </w:tc>
      </w:tr>
      <w:tr w:rsidR="00C953B4" w:rsidRPr="00076F11" w14:paraId="1675DB38" w14:textId="77777777" w:rsidTr="00C953B4">
        <w:trPr>
          <w:trHeight w:val="300"/>
        </w:trPr>
        <w:tc>
          <w:tcPr>
            <w:tcW w:w="1327" w:type="dxa"/>
            <w:tcBorders>
              <w:top w:val="nil"/>
              <w:left w:val="single" w:sz="4" w:space="0" w:color="auto"/>
              <w:bottom w:val="single" w:sz="4" w:space="0" w:color="auto"/>
              <w:right w:val="single" w:sz="4" w:space="0" w:color="auto"/>
            </w:tcBorders>
            <w:shd w:val="clear" w:color="auto" w:fill="auto"/>
            <w:vAlign w:val="bottom"/>
            <w:hideMark/>
          </w:tcPr>
          <w:p w14:paraId="737F2835"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1.1.1.4.1.003</w:t>
            </w:r>
          </w:p>
        </w:tc>
        <w:tc>
          <w:tcPr>
            <w:tcW w:w="2637" w:type="dxa"/>
            <w:tcBorders>
              <w:top w:val="nil"/>
              <w:left w:val="nil"/>
              <w:bottom w:val="single" w:sz="4" w:space="0" w:color="auto"/>
              <w:right w:val="single" w:sz="4" w:space="0" w:color="auto"/>
            </w:tcBorders>
            <w:shd w:val="clear" w:color="auto" w:fill="auto"/>
            <w:vAlign w:val="bottom"/>
            <w:hideMark/>
          </w:tcPr>
          <w:p w14:paraId="70366872"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HSBC</w:t>
            </w:r>
          </w:p>
        </w:tc>
        <w:tc>
          <w:tcPr>
            <w:tcW w:w="1328" w:type="dxa"/>
            <w:tcBorders>
              <w:top w:val="nil"/>
              <w:left w:val="nil"/>
              <w:bottom w:val="single" w:sz="4" w:space="0" w:color="auto"/>
              <w:right w:val="single" w:sz="4" w:space="0" w:color="auto"/>
            </w:tcBorders>
            <w:shd w:val="clear" w:color="auto" w:fill="auto"/>
            <w:vAlign w:val="bottom"/>
            <w:hideMark/>
          </w:tcPr>
          <w:p w14:paraId="7251CC88"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456,729,441.15</w:t>
            </w:r>
          </w:p>
        </w:tc>
        <w:tc>
          <w:tcPr>
            <w:tcW w:w="1818" w:type="dxa"/>
            <w:tcBorders>
              <w:top w:val="nil"/>
              <w:left w:val="nil"/>
              <w:bottom w:val="single" w:sz="4" w:space="0" w:color="auto"/>
              <w:right w:val="single" w:sz="4" w:space="0" w:color="auto"/>
            </w:tcBorders>
            <w:shd w:val="clear" w:color="auto" w:fill="auto"/>
            <w:vAlign w:val="bottom"/>
            <w:hideMark/>
          </w:tcPr>
          <w:p w14:paraId="472065A2"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445,198,704.03</w:t>
            </w:r>
          </w:p>
        </w:tc>
        <w:tc>
          <w:tcPr>
            <w:tcW w:w="1810" w:type="dxa"/>
            <w:tcBorders>
              <w:top w:val="nil"/>
              <w:left w:val="nil"/>
              <w:bottom w:val="single" w:sz="4" w:space="0" w:color="auto"/>
              <w:right w:val="single" w:sz="4" w:space="0" w:color="auto"/>
            </w:tcBorders>
            <w:shd w:val="clear" w:color="auto" w:fill="auto"/>
            <w:vAlign w:val="bottom"/>
            <w:hideMark/>
          </w:tcPr>
          <w:p w14:paraId="40E7C4CE"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-11,530,737.12</w:t>
            </w:r>
          </w:p>
        </w:tc>
      </w:tr>
      <w:tr w:rsidR="00C953B4" w:rsidRPr="00076F11" w14:paraId="79A1D126" w14:textId="77777777" w:rsidTr="00C953B4">
        <w:trPr>
          <w:trHeight w:val="300"/>
        </w:trPr>
        <w:tc>
          <w:tcPr>
            <w:tcW w:w="1327" w:type="dxa"/>
            <w:tcBorders>
              <w:top w:val="nil"/>
              <w:left w:val="single" w:sz="4" w:space="0" w:color="auto"/>
              <w:bottom w:val="single" w:sz="4" w:space="0" w:color="auto"/>
              <w:right w:val="single" w:sz="4" w:space="0" w:color="auto"/>
            </w:tcBorders>
            <w:shd w:val="clear" w:color="auto" w:fill="auto"/>
            <w:vAlign w:val="bottom"/>
            <w:hideMark/>
          </w:tcPr>
          <w:p w14:paraId="4267B8A7"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1.1.1.4.1.004</w:t>
            </w:r>
          </w:p>
        </w:tc>
        <w:tc>
          <w:tcPr>
            <w:tcW w:w="2637" w:type="dxa"/>
            <w:tcBorders>
              <w:top w:val="nil"/>
              <w:left w:val="nil"/>
              <w:bottom w:val="single" w:sz="4" w:space="0" w:color="auto"/>
              <w:right w:val="single" w:sz="4" w:space="0" w:color="auto"/>
            </w:tcBorders>
            <w:shd w:val="clear" w:color="auto" w:fill="auto"/>
            <w:vAlign w:val="bottom"/>
            <w:hideMark/>
          </w:tcPr>
          <w:p w14:paraId="2023B92F"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SCOTIABANK</w:t>
            </w:r>
          </w:p>
        </w:tc>
        <w:tc>
          <w:tcPr>
            <w:tcW w:w="1328" w:type="dxa"/>
            <w:tcBorders>
              <w:top w:val="nil"/>
              <w:left w:val="nil"/>
              <w:bottom w:val="single" w:sz="4" w:space="0" w:color="auto"/>
              <w:right w:val="single" w:sz="4" w:space="0" w:color="auto"/>
            </w:tcBorders>
            <w:shd w:val="clear" w:color="auto" w:fill="auto"/>
            <w:vAlign w:val="bottom"/>
            <w:hideMark/>
          </w:tcPr>
          <w:p w14:paraId="158403BD"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880,677,492.19</w:t>
            </w:r>
          </w:p>
        </w:tc>
        <w:tc>
          <w:tcPr>
            <w:tcW w:w="1818" w:type="dxa"/>
            <w:tcBorders>
              <w:top w:val="nil"/>
              <w:left w:val="nil"/>
              <w:bottom w:val="single" w:sz="4" w:space="0" w:color="auto"/>
              <w:right w:val="single" w:sz="4" w:space="0" w:color="auto"/>
            </w:tcBorders>
            <w:shd w:val="clear" w:color="auto" w:fill="auto"/>
            <w:vAlign w:val="bottom"/>
            <w:hideMark/>
          </w:tcPr>
          <w:p w14:paraId="04901DF7"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2,380,256,157.11</w:t>
            </w:r>
          </w:p>
        </w:tc>
        <w:tc>
          <w:tcPr>
            <w:tcW w:w="1810" w:type="dxa"/>
            <w:tcBorders>
              <w:top w:val="nil"/>
              <w:left w:val="nil"/>
              <w:bottom w:val="single" w:sz="4" w:space="0" w:color="auto"/>
              <w:right w:val="single" w:sz="4" w:space="0" w:color="auto"/>
            </w:tcBorders>
            <w:shd w:val="clear" w:color="auto" w:fill="auto"/>
            <w:vAlign w:val="bottom"/>
            <w:hideMark/>
          </w:tcPr>
          <w:p w14:paraId="27DA37F7"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1,499,578,664.92</w:t>
            </w:r>
          </w:p>
        </w:tc>
      </w:tr>
      <w:tr w:rsidR="00C953B4" w:rsidRPr="00076F11" w14:paraId="560C5695" w14:textId="77777777" w:rsidTr="00C953B4">
        <w:trPr>
          <w:trHeight w:val="300"/>
        </w:trPr>
        <w:tc>
          <w:tcPr>
            <w:tcW w:w="1327" w:type="dxa"/>
            <w:tcBorders>
              <w:top w:val="nil"/>
              <w:left w:val="single" w:sz="4" w:space="0" w:color="auto"/>
              <w:bottom w:val="single" w:sz="4" w:space="0" w:color="auto"/>
              <w:right w:val="single" w:sz="4" w:space="0" w:color="auto"/>
            </w:tcBorders>
            <w:shd w:val="clear" w:color="auto" w:fill="auto"/>
            <w:vAlign w:val="bottom"/>
            <w:hideMark/>
          </w:tcPr>
          <w:p w14:paraId="4FE19783"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1.1.1.4.1.005</w:t>
            </w:r>
          </w:p>
        </w:tc>
        <w:tc>
          <w:tcPr>
            <w:tcW w:w="2637" w:type="dxa"/>
            <w:tcBorders>
              <w:top w:val="nil"/>
              <w:left w:val="nil"/>
              <w:bottom w:val="single" w:sz="4" w:space="0" w:color="auto"/>
              <w:right w:val="single" w:sz="4" w:space="0" w:color="auto"/>
            </w:tcBorders>
            <w:shd w:val="clear" w:color="auto" w:fill="auto"/>
            <w:vAlign w:val="bottom"/>
            <w:hideMark/>
          </w:tcPr>
          <w:p w14:paraId="1C7E6E69"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SANTANDER</w:t>
            </w:r>
          </w:p>
        </w:tc>
        <w:tc>
          <w:tcPr>
            <w:tcW w:w="1328" w:type="dxa"/>
            <w:tcBorders>
              <w:top w:val="nil"/>
              <w:left w:val="nil"/>
              <w:bottom w:val="single" w:sz="4" w:space="0" w:color="auto"/>
              <w:right w:val="single" w:sz="4" w:space="0" w:color="auto"/>
            </w:tcBorders>
            <w:shd w:val="clear" w:color="auto" w:fill="auto"/>
            <w:vAlign w:val="bottom"/>
            <w:hideMark/>
          </w:tcPr>
          <w:p w14:paraId="395E6240"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826,539,474.40</w:t>
            </w:r>
          </w:p>
        </w:tc>
        <w:tc>
          <w:tcPr>
            <w:tcW w:w="1818" w:type="dxa"/>
            <w:tcBorders>
              <w:top w:val="nil"/>
              <w:left w:val="nil"/>
              <w:bottom w:val="single" w:sz="4" w:space="0" w:color="auto"/>
              <w:right w:val="single" w:sz="4" w:space="0" w:color="auto"/>
            </w:tcBorders>
            <w:shd w:val="clear" w:color="auto" w:fill="auto"/>
            <w:vAlign w:val="bottom"/>
            <w:hideMark/>
          </w:tcPr>
          <w:p w14:paraId="74EBFC40"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1,733,048,793.34</w:t>
            </w:r>
          </w:p>
        </w:tc>
        <w:tc>
          <w:tcPr>
            <w:tcW w:w="1810" w:type="dxa"/>
            <w:tcBorders>
              <w:top w:val="nil"/>
              <w:left w:val="nil"/>
              <w:bottom w:val="single" w:sz="4" w:space="0" w:color="auto"/>
              <w:right w:val="single" w:sz="4" w:space="0" w:color="auto"/>
            </w:tcBorders>
            <w:shd w:val="clear" w:color="auto" w:fill="auto"/>
            <w:vAlign w:val="bottom"/>
            <w:hideMark/>
          </w:tcPr>
          <w:p w14:paraId="1C391CA3"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906,509,318.94</w:t>
            </w:r>
          </w:p>
        </w:tc>
      </w:tr>
      <w:tr w:rsidR="00C953B4" w:rsidRPr="00076F11" w14:paraId="6BFE69EB" w14:textId="77777777" w:rsidTr="00C953B4">
        <w:trPr>
          <w:trHeight w:val="300"/>
        </w:trPr>
        <w:tc>
          <w:tcPr>
            <w:tcW w:w="1327" w:type="dxa"/>
            <w:tcBorders>
              <w:top w:val="nil"/>
              <w:left w:val="single" w:sz="4" w:space="0" w:color="auto"/>
              <w:bottom w:val="single" w:sz="4" w:space="0" w:color="auto"/>
              <w:right w:val="single" w:sz="4" w:space="0" w:color="auto"/>
            </w:tcBorders>
            <w:shd w:val="clear" w:color="auto" w:fill="auto"/>
            <w:vAlign w:val="bottom"/>
            <w:hideMark/>
          </w:tcPr>
          <w:p w14:paraId="326262E7"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1.1.1.4.1.007</w:t>
            </w:r>
          </w:p>
        </w:tc>
        <w:tc>
          <w:tcPr>
            <w:tcW w:w="2637" w:type="dxa"/>
            <w:tcBorders>
              <w:top w:val="nil"/>
              <w:left w:val="nil"/>
              <w:bottom w:val="single" w:sz="4" w:space="0" w:color="auto"/>
              <w:right w:val="single" w:sz="4" w:space="0" w:color="auto"/>
            </w:tcBorders>
            <w:shd w:val="clear" w:color="auto" w:fill="auto"/>
            <w:vAlign w:val="bottom"/>
            <w:hideMark/>
          </w:tcPr>
          <w:p w14:paraId="03790A6B"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BANORTE</w:t>
            </w:r>
          </w:p>
        </w:tc>
        <w:tc>
          <w:tcPr>
            <w:tcW w:w="1328" w:type="dxa"/>
            <w:tcBorders>
              <w:top w:val="nil"/>
              <w:left w:val="nil"/>
              <w:bottom w:val="single" w:sz="4" w:space="0" w:color="auto"/>
              <w:right w:val="single" w:sz="4" w:space="0" w:color="auto"/>
            </w:tcBorders>
            <w:shd w:val="clear" w:color="auto" w:fill="auto"/>
            <w:vAlign w:val="bottom"/>
            <w:hideMark/>
          </w:tcPr>
          <w:p w14:paraId="55915DD2"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51,228,211.31</w:t>
            </w:r>
          </w:p>
        </w:tc>
        <w:tc>
          <w:tcPr>
            <w:tcW w:w="1818" w:type="dxa"/>
            <w:tcBorders>
              <w:top w:val="nil"/>
              <w:left w:val="nil"/>
              <w:bottom w:val="single" w:sz="4" w:space="0" w:color="auto"/>
              <w:right w:val="single" w:sz="4" w:space="0" w:color="auto"/>
            </w:tcBorders>
            <w:shd w:val="clear" w:color="auto" w:fill="auto"/>
            <w:vAlign w:val="bottom"/>
            <w:hideMark/>
          </w:tcPr>
          <w:p w14:paraId="44C92EE9"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73,909,572.51</w:t>
            </w:r>
          </w:p>
        </w:tc>
        <w:tc>
          <w:tcPr>
            <w:tcW w:w="1810" w:type="dxa"/>
            <w:tcBorders>
              <w:top w:val="nil"/>
              <w:left w:val="nil"/>
              <w:bottom w:val="single" w:sz="4" w:space="0" w:color="auto"/>
              <w:right w:val="single" w:sz="4" w:space="0" w:color="auto"/>
            </w:tcBorders>
            <w:shd w:val="clear" w:color="auto" w:fill="auto"/>
            <w:vAlign w:val="bottom"/>
            <w:hideMark/>
          </w:tcPr>
          <w:p w14:paraId="75197084"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22,681,361.20</w:t>
            </w:r>
          </w:p>
        </w:tc>
      </w:tr>
      <w:tr w:rsidR="00C953B4" w:rsidRPr="00C953B4" w14:paraId="3BB5C115" w14:textId="77777777" w:rsidTr="00C953B4">
        <w:trPr>
          <w:trHeight w:val="300"/>
        </w:trPr>
        <w:tc>
          <w:tcPr>
            <w:tcW w:w="13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240DA"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1.1.1.4.1.009</w:t>
            </w:r>
          </w:p>
        </w:tc>
        <w:tc>
          <w:tcPr>
            <w:tcW w:w="2637" w:type="dxa"/>
            <w:tcBorders>
              <w:top w:val="single" w:sz="4" w:space="0" w:color="auto"/>
              <w:left w:val="nil"/>
              <w:bottom w:val="single" w:sz="4" w:space="0" w:color="auto"/>
              <w:right w:val="single" w:sz="4" w:space="0" w:color="auto"/>
            </w:tcBorders>
            <w:shd w:val="clear" w:color="auto" w:fill="auto"/>
            <w:vAlign w:val="bottom"/>
            <w:hideMark/>
          </w:tcPr>
          <w:p w14:paraId="14EEB501" w14:textId="77777777" w:rsidR="00076F11" w:rsidRPr="00076F11" w:rsidRDefault="00076F11" w:rsidP="00076F11">
            <w:pPr>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BANCO AZTECA</w:t>
            </w:r>
          </w:p>
        </w:tc>
        <w:tc>
          <w:tcPr>
            <w:tcW w:w="1328" w:type="dxa"/>
            <w:tcBorders>
              <w:top w:val="single" w:sz="4" w:space="0" w:color="auto"/>
              <w:left w:val="nil"/>
              <w:bottom w:val="single" w:sz="4" w:space="0" w:color="auto"/>
              <w:right w:val="single" w:sz="4" w:space="0" w:color="auto"/>
            </w:tcBorders>
            <w:shd w:val="clear" w:color="auto" w:fill="auto"/>
            <w:vAlign w:val="bottom"/>
            <w:hideMark/>
          </w:tcPr>
          <w:p w14:paraId="24A2979E"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0.00</w:t>
            </w:r>
          </w:p>
        </w:tc>
        <w:tc>
          <w:tcPr>
            <w:tcW w:w="1818" w:type="dxa"/>
            <w:tcBorders>
              <w:top w:val="single" w:sz="4" w:space="0" w:color="auto"/>
              <w:left w:val="nil"/>
              <w:bottom w:val="single" w:sz="4" w:space="0" w:color="auto"/>
              <w:right w:val="single" w:sz="4" w:space="0" w:color="auto"/>
            </w:tcBorders>
            <w:shd w:val="clear" w:color="auto" w:fill="auto"/>
            <w:vAlign w:val="bottom"/>
            <w:hideMark/>
          </w:tcPr>
          <w:p w14:paraId="0C9F6157"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407,053,376.23</w:t>
            </w:r>
          </w:p>
        </w:tc>
        <w:tc>
          <w:tcPr>
            <w:tcW w:w="1810" w:type="dxa"/>
            <w:tcBorders>
              <w:top w:val="single" w:sz="4" w:space="0" w:color="auto"/>
              <w:left w:val="nil"/>
              <w:bottom w:val="single" w:sz="4" w:space="0" w:color="auto"/>
              <w:right w:val="single" w:sz="4" w:space="0" w:color="auto"/>
            </w:tcBorders>
            <w:shd w:val="clear" w:color="auto" w:fill="auto"/>
            <w:vAlign w:val="bottom"/>
            <w:hideMark/>
          </w:tcPr>
          <w:p w14:paraId="59661162" w14:textId="77777777" w:rsidR="00076F11" w:rsidRPr="00076F11" w:rsidRDefault="00076F11" w:rsidP="00076F11">
            <w:pPr>
              <w:jc w:val="right"/>
              <w:rPr>
                <w:rFonts w:ascii="Montserrat" w:eastAsia="Times New Roman" w:hAnsi="Montserrat" w:cs="Calibri"/>
                <w:color w:val="000000"/>
                <w:sz w:val="20"/>
                <w:szCs w:val="20"/>
                <w:lang w:val="es-MX"/>
              </w:rPr>
            </w:pPr>
            <w:r w:rsidRPr="00076F11">
              <w:rPr>
                <w:rFonts w:ascii="Montserrat" w:eastAsia="Times New Roman" w:hAnsi="Montserrat" w:cs="Calibri"/>
                <w:color w:val="000000"/>
                <w:sz w:val="20"/>
                <w:szCs w:val="20"/>
                <w:lang w:val="es-MX"/>
              </w:rPr>
              <w:t>407,053,376.23</w:t>
            </w:r>
          </w:p>
        </w:tc>
      </w:tr>
      <w:tr w:rsidR="00076F11" w:rsidRPr="00C953B4" w14:paraId="7786BF68" w14:textId="77777777" w:rsidTr="00C953B4">
        <w:trPr>
          <w:trHeight w:val="300"/>
        </w:trPr>
        <w:tc>
          <w:tcPr>
            <w:tcW w:w="1327" w:type="dxa"/>
            <w:tcBorders>
              <w:top w:val="single" w:sz="4" w:space="0" w:color="auto"/>
              <w:left w:val="single" w:sz="4" w:space="0" w:color="auto"/>
              <w:bottom w:val="single" w:sz="4" w:space="0" w:color="auto"/>
              <w:right w:val="single" w:sz="4" w:space="0" w:color="auto"/>
            </w:tcBorders>
            <w:shd w:val="clear" w:color="auto" w:fill="auto"/>
            <w:vAlign w:val="bottom"/>
          </w:tcPr>
          <w:p w14:paraId="1350C490" w14:textId="77777777" w:rsidR="00076F11" w:rsidRPr="00C953B4" w:rsidRDefault="00076F11" w:rsidP="00076F11">
            <w:pPr>
              <w:rPr>
                <w:rFonts w:ascii="Montserrat" w:eastAsia="Times New Roman" w:hAnsi="Montserrat" w:cs="Calibri"/>
                <w:b/>
                <w:bCs/>
                <w:color w:val="000000"/>
                <w:sz w:val="20"/>
                <w:szCs w:val="20"/>
                <w:lang w:val="es-MX"/>
              </w:rPr>
            </w:pPr>
          </w:p>
        </w:tc>
        <w:tc>
          <w:tcPr>
            <w:tcW w:w="2637" w:type="dxa"/>
            <w:tcBorders>
              <w:top w:val="single" w:sz="4" w:space="0" w:color="auto"/>
              <w:left w:val="nil"/>
              <w:bottom w:val="single" w:sz="4" w:space="0" w:color="auto"/>
              <w:right w:val="single" w:sz="4" w:space="0" w:color="auto"/>
            </w:tcBorders>
            <w:shd w:val="clear" w:color="auto" w:fill="auto"/>
            <w:vAlign w:val="bottom"/>
          </w:tcPr>
          <w:p w14:paraId="1C918C5A" w14:textId="486162FB" w:rsidR="00076F11" w:rsidRPr="00C953B4" w:rsidRDefault="00076F11" w:rsidP="00076F11">
            <w:pPr>
              <w:rPr>
                <w:rFonts w:ascii="Montserrat" w:eastAsia="Times New Roman" w:hAnsi="Montserrat" w:cs="Calibri"/>
                <w:b/>
                <w:bCs/>
                <w:color w:val="000000"/>
                <w:sz w:val="20"/>
                <w:szCs w:val="20"/>
                <w:lang w:val="es-MX"/>
              </w:rPr>
            </w:pPr>
            <w:r w:rsidRPr="00C953B4">
              <w:rPr>
                <w:rFonts w:ascii="Montserrat" w:eastAsia="Times New Roman" w:hAnsi="Montserrat" w:cs="Calibri"/>
                <w:b/>
                <w:bCs/>
                <w:color w:val="000000"/>
                <w:sz w:val="20"/>
                <w:szCs w:val="20"/>
                <w:lang w:val="es-MX"/>
              </w:rPr>
              <w:t>TOTALES</w:t>
            </w:r>
          </w:p>
        </w:tc>
        <w:tc>
          <w:tcPr>
            <w:tcW w:w="1328" w:type="dxa"/>
            <w:tcBorders>
              <w:top w:val="single" w:sz="4" w:space="0" w:color="auto"/>
              <w:left w:val="nil"/>
              <w:bottom w:val="single" w:sz="4" w:space="0" w:color="auto"/>
              <w:right w:val="single" w:sz="4" w:space="0" w:color="auto"/>
            </w:tcBorders>
            <w:shd w:val="clear" w:color="auto" w:fill="auto"/>
            <w:vAlign w:val="bottom"/>
          </w:tcPr>
          <w:p w14:paraId="16C2207B" w14:textId="68C018AC" w:rsidR="00076F11" w:rsidRPr="00C953B4" w:rsidRDefault="00076F11" w:rsidP="00076F11">
            <w:pPr>
              <w:jc w:val="right"/>
              <w:rPr>
                <w:rFonts w:ascii="Montserrat" w:eastAsia="Times New Roman" w:hAnsi="Montserrat" w:cs="Calibri"/>
                <w:b/>
                <w:bCs/>
                <w:color w:val="000000"/>
                <w:sz w:val="20"/>
                <w:szCs w:val="20"/>
                <w:lang w:val="es-MX"/>
              </w:rPr>
            </w:pPr>
            <w:r w:rsidRPr="00C953B4">
              <w:rPr>
                <w:rFonts w:ascii="Montserrat" w:hAnsi="Montserrat" w:cs="Calibri"/>
                <w:b/>
                <w:bCs/>
                <w:color w:val="000000"/>
                <w:sz w:val="20"/>
                <w:szCs w:val="20"/>
              </w:rPr>
              <w:t>3,033,899,206.82</w:t>
            </w:r>
          </w:p>
        </w:tc>
        <w:tc>
          <w:tcPr>
            <w:tcW w:w="1818" w:type="dxa"/>
            <w:tcBorders>
              <w:top w:val="single" w:sz="4" w:space="0" w:color="auto"/>
              <w:left w:val="nil"/>
              <w:bottom w:val="single" w:sz="4" w:space="0" w:color="auto"/>
              <w:right w:val="single" w:sz="4" w:space="0" w:color="auto"/>
            </w:tcBorders>
            <w:shd w:val="clear" w:color="auto" w:fill="auto"/>
            <w:vAlign w:val="bottom"/>
          </w:tcPr>
          <w:p w14:paraId="3064C29C" w14:textId="2C7F7DCA" w:rsidR="00076F11" w:rsidRPr="00C953B4" w:rsidRDefault="00076F11" w:rsidP="00076F11">
            <w:pPr>
              <w:jc w:val="right"/>
              <w:rPr>
                <w:rFonts w:ascii="Montserrat" w:eastAsia="Times New Roman" w:hAnsi="Montserrat" w:cs="Calibri"/>
                <w:b/>
                <w:bCs/>
                <w:color w:val="000000"/>
                <w:sz w:val="20"/>
                <w:szCs w:val="20"/>
                <w:lang w:val="es-MX"/>
              </w:rPr>
            </w:pPr>
            <w:r w:rsidRPr="00C953B4">
              <w:rPr>
                <w:rFonts w:ascii="Montserrat" w:hAnsi="Montserrat" w:cs="Calibri"/>
                <w:b/>
                <w:bCs/>
                <w:color w:val="000000"/>
                <w:sz w:val="20"/>
                <w:szCs w:val="20"/>
              </w:rPr>
              <w:t>8,037,895,309.15</w:t>
            </w:r>
          </w:p>
        </w:tc>
        <w:tc>
          <w:tcPr>
            <w:tcW w:w="1810" w:type="dxa"/>
            <w:tcBorders>
              <w:top w:val="single" w:sz="4" w:space="0" w:color="auto"/>
              <w:left w:val="nil"/>
              <w:bottom w:val="single" w:sz="4" w:space="0" w:color="auto"/>
              <w:right w:val="single" w:sz="4" w:space="0" w:color="auto"/>
            </w:tcBorders>
            <w:shd w:val="clear" w:color="auto" w:fill="auto"/>
            <w:vAlign w:val="bottom"/>
          </w:tcPr>
          <w:p w14:paraId="248AAFCB" w14:textId="3209792A" w:rsidR="00076F11" w:rsidRPr="00C953B4" w:rsidRDefault="00076F11" w:rsidP="00076F11">
            <w:pPr>
              <w:jc w:val="right"/>
              <w:rPr>
                <w:rFonts w:ascii="Montserrat" w:eastAsia="Times New Roman" w:hAnsi="Montserrat" w:cs="Calibri"/>
                <w:b/>
                <w:bCs/>
                <w:color w:val="000000"/>
                <w:sz w:val="20"/>
                <w:szCs w:val="20"/>
                <w:lang w:val="es-MX"/>
              </w:rPr>
            </w:pPr>
            <w:r w:rsidRPr="00C953B4">
              <w:rPr>
                <w:rFonts w:ascii="Montserrat" w:hAnsi="Montserrat" w:cs="Calibri"/>
                <w:b/>
                <w:bCs/>
                <w:color w:val="000000"/>
                <w:sz w:val="20"/>
                <w:szCs w:val="20"/>
              </w:rPr>
              <w:t>5,003,996,102.33</w:t>
            </w:r>
          </w:p>
        </w:tc>
      </w:tr>
    </w:tbl>
    <w:p w14:paraId="3EF6ADA5" w14:textId="7F594D51" w:rsidR="00076F11" w:rsidRPr="00076F11" w:rsidRDefault="00076F11" w:rsidP="00076F11">
      <w:pPr>
        <w:widowControl w:val="0"/>
        <w:jc w:val="both"/>
        <w:rPr>
          <w:rFonts w:ascii="Montserrat" w:eastAsia="Times New Roman" w:hAnsi="Montserrat" w:cs="Arial"/>
        </w:rPr>
      </w:pPr>
    </w:p>
    <w:p w14:paraId="46D9F9AD"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Patrimonio de Organismos Descentralizados de Control Presupuestario Indirecto.</w:t>
      </w:r>
    </w:p>
    <w:p w14:paraId="334C45B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no cuenta con organismos descentralizados de control presupuestario indirecto</w:t>
      </w:r>
    </w:p>
    <w:p w14:paraId="101BCF48" w14:textId="77777777" w:rsidR="00B0059B" w:rsidRPr="00FD2DE6" w:rsidRDefault="00B0059B" w:rsidP="00B0059B">
      <w:pPr>
        <w:tabs>
          <w:tab w:val="left" w:pos="7260"/>
        </w:tabs>
        <w:jc w:val="both"/>
        <w:rPr>
          <w:rFonts w:ascii="Montserrat" w:eastAsia="Times New Roman" w:hAnsi="Montserrat" w:cs="Arial"/>
        </w:rPr>
      </w:pPr>
    </w:p>
    <w:p w14:paraId="15EBC76A"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Inversiones en empresas de participación mayoritaria.</w:t>
      </w:r>
    </w:p>
    <w:p w14:paraId="114DE13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no cuenta con inversiones en empresas de participación mayoritaria</w:t>
      </w:r>
    </w:p>
    <w:p w14:paraId="73C594D4" w14:textId="77777777" w:rsidR="00B0059B" w:rsidRPr="00FD2DE6" w:rsidRDefault="00B0059B" w:rsidP="00B0059B">
      <w:pPr>
        <w:tabs>
          <w:tab w:val="left" w:pos="7260"/>
        </w:tabs>
        <w:jc w:val="both"/>
        <w:rPr>
          <w:rFonts w:ascii="Montserrat" w:eastAsia="Times New Roman" w:hAnsi="Montserrat" w:cs="Arial"/>
        </w:rPr>
      </w:pPr>
    </w:p>
    <w:p w14:paraId="7DEB7C67"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no cuenta con inversiones en empresas de participación minoritaria</w:t>
      </w:r>
    </w:p>
    <w:p w14:paraId="06FCB7D5" w14:textId="77777777" w:rsidR="00912EC3" w:rsidRPr="00FD2DE6" w:rsidRDefault="00912EC3" w:rsidP="00B0059B">
      <w:pPr>
        <w:tabs>
          <w:tab w:val="left" w:pos="7260"/>
        </w:tabs>
        <w:jc w:val="both"/>
        <w:rPr>
          <w:rFonts w:ascii="Montserrat" w:eastAsia="Times New Roman" w:hAnsi="Montserrat" w:cs="Arial"/>
        </w:rPr>
      </w:pPr>
    </w:p>
    <w:p w14:paraId="3159A180" w14:textId="77777777" w:rsidR="00912EC3" w:rsidRPr="00FD2DE6"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Patrimonio de Organismos Descentralizados de Control Presupuestario Directo, según corresponda.</w:t>
      </w:r>
    </w:p>
    <w:p w14:paraId="56957D65" w14:textId="0FA34270" w:rsidR="00912EC3" w:rsidRPr="00FD2DE6" w:rsidRDefault="00912EC3" w:rsidP="00912EC3">
      <w:pPr>
        <w:tabs>
          <w:tab w:val="left" w:pos="7260"/>
        </w:tabs>
        <w:jc w:val="both"/>
        <w:rPr>
          <w:rFonts w:ascii="Montserrat" w:eastAsia="Times New Roman" w:hAnsi="Montserrat" w:cs="Arial"/>
        </w:rPr>
      </w:pPr>
      <w:r w:rsidRPr="00FD2DE6">
        <w:rPr>
          <w:rFonts w:ascii="Montserrat" w:eastAsia="Times New Roman" w:hAnsi="Montserrat" w:cs="Arial"/>
        </w:rPr>
        <w:t xml:space="preserve">A continuación, se muestra la lista de Organismos Descentralizados de Control Presupuestario Directo con el patrimonio al 30 de </w:t>
      </w:r>
      <w:r w:rsidR="00B9559F">
        <w:rPr>
          <w:rFonts w:ascii="Montserrat" w:eastAsia="Times New Roman" w:hAnsi="Montserrat" w:cs="Arial"/>
        </w:rPr>
        <w:t>septiembre</w:t>
      </w:r>
      <w:r w:rsidRPr="00FD2DE6">
        <w:rPr>
          <w:rFonts w:ascii="Montserrat" w:eastAsia="Times New Roman" w:hAnsi="Montserrat" w:cs="Arial"/>
        </w:rPr>
        <w:t xml:space="preserve"> de 2024 y 31 de diciembre de 2023, así como su variación, mencionando que las explicaciones de dichas variaciones se encontrarán en las notas a los estados financieros correspondiente a cada uno de ellos dentro del Tomo V del </w:t>
      </w:r>
      <w:r w:rsidR="00A15D46">
        <w:rPr>
          <w:rFonts w:ascii="Montserrat" w:eastAsia="Times New Roman" w:hAnsi="Montserrat" w:cs="Arial"/>
        </w:rPr>
        <w:t>3er</w:t>
      </w:r>
      <w:r w:rsidRPr="00FD2DE6">
        <w:rPr>
          <w:rFonts w:ascii="Montserrat" w:eastAsia="Times New Roman" w:hAnsi="Montserrat" w:cs="Arial"/>
        </w:rPr>
        <w:t>. Informe trimestral de Avance de Gestión de 2024:</w:t>
      </w:r>
    </w:p>
    <w:p w14:paraId="0CA2C696" w14:textId="77777777" w:rsidR="00912EC3" w:rsidRPr="00FD2DE6" w:rsidRDefault="00912EC3" w:rsidP="00B0059B">
      <w:pPr>
        <w:tabs>
          <w:tab w:val="left" w:pos="7260"/>
        </w:tabs>
        <w:jc w:val="both"/>
        <w:rPr>
          <w:rFonts w:ascii="Montserrat" w:eastAsia="Times New Roman" w:hAnsi="Montserrat" w:cs="Arial"/>
        </w:rPr>
      </w:pPr>
    </w:p>
    <w:tbl>
      <w:tblPr>
        <w:tblStyle w:val="Tablaconcuadrcula"/>
        <w:tblW w:w="8926" w:type="dxa"/>
        <w:tblLook w:val="04A0" w:firstRow="1" w:lastRow="0" w:firstColumn="1" w:lastColumn="0" w:noHBand="0" w:noVBand="1"/>
      </w:tblPr>
      <w:tblGrid>
        <w:gridCol w:w="637"/>
        <w:gridCol w:w="2686"/>
        <w:gridCol w:w="1826"/>
        <w:gridCol w:w="1957"/>
        <w:gridCol w:w="1820"/>
      </w:tblGrid>
      <w:tr w:rsidR="00FD2DE6" w:rsidRPr="00C953B4" w14:paraId="7B0CFEC6" w14:textId="77777777" w:rsidTr="004B3002">
        <w:trPr>
          <w:trHeight w:val="465"/>
          <w:tblHeader/>
        </w:trPr>
        <w:tc>
          <w:tcPr>
            <w:tcW w:w="644" w:type="dxa"/>
            <w:vAlign w:val="center"/>
            <w:hideMark/>
          </w:tcPr>
          <w:p w14:paraId="3A1CBDF5" w14:textId="77777777" w:rsidR="00912EC3" w:rsidRPr="00C953B4" w:rsidRDefault="00912EC3" w:rsidP="00403C91">
            <w:pPr>
              <w:tabs>
                <w:tab w:val="left" w:pos="7260"/>
              </w:tabs>
              <w:jc w:val="center"/>
              <w:rPr>
                <w:rFonts w:ascii="Montserrat" w:eastAsia="Times New Roman" w:hAnsi="Montserrat" w:cs="Arial"/>
                <w:b/>
                <w:bCs/>
                <w:sz w:val="20"/>
                <w:szCs w:val="20"/>
              </w:rPr>
            </w:pPr>
            <w:r w:rsidRPr="00C953B4">
              <w:rPr>
                <w:rFonts w:ascii="Montserrat" w:eastAsia="Times New Roman" w:hAnsi="Montserrat" w:cs="Arial"/>
                <w:b/>
                <w:bCs/>
                <w:sz w:val="20"/>
                <w:szCs w:val="20"/>
              </w:rPr>
              <w:t>UR</w:t>
            </w:r>
          </w:p>
        </w:tc>
        <w:tc>
          <w:tcPr>
            <w:tcW w:w="2753" w:type="dxa"/>
            <w:vAlign w:val="center"/>
            <w:hideMark/>
          </w:tcPr>
          <w:p w14:paraId="7BB03A70" w14:textId="77777777" w:rsidR="00912EC3" w:rsidRPr="00C953B4" w:rsidRDefault="00912EC3" w:rsidP="00403C91">
            <w:pPr>
              <w:tabs>
                <w:tab w:val="left" w:pos="7260"/>
              </w:tabs>
              <w:jc w:val="center"/>
              <w:rPr>
                <w:rFonts w:ascii="Montserrat" w:eastAsia="Times New Roman" w:hAnsi="Montserrat" w:cs="Arial"/>
                <w:b/>
                <w:bCs/>
                <w:sz w:val="20"/>
                <w:szCs w:val="20"/>
              </w:rPr>
            </w:pPr>
            <w:r w:rsidRPr="00C953B4">
              <w:rPr>
                <w:rFonts w:ascii="Montserrat" w:eastAsia="Times New Roman" w:hAnsi="Montserrat" w:cs="Arial"/>
                <w:b/>
                <w:bCs/>
                <w:sz w:val="20"/>
                <w:szCs w:val="20"/>
              </w:rPr>
              <w:t>NOMBRE</w:t>
            </w:r>
          </w:p>
        </w:tc>
        <w:tc>
          <w:tcPr>
            <w:tcW w:w="1701" w:type="dxa"/>
            <w:vAlign w:val="center"/>
            <w:hideMark/>
          </w:tcPr>
          <w:p w14:paraId="32BEE41B" w14:textId="77777777" w:rsidR="00912EC3" w:rsidRPr="00C953B4" w:rsidRDefault="00912EC3" w:rsidP="00403C91">
            <w:pPr>
              <w:tabs>
                <w:tab w:val="left" w:pos="7260"/>
              </w:tabs>
              <w:jc w:val="center"/>
              <w:rPr>
                <w:rFonts w:ascii="Montserrat" w:eastAsia="Times New Roman" w:hAnsi="Montserrat" w:cs="Arial"/>
                <w:b/>
                <w:bCs/>
                <w:sz w:val="20"/>
                <w:szCs w:val="20"/>
              </w:rPr>
            </w:pPr>
            <w:r w:rsidRPr="00C953B4">
              <w:rPr>
                <w:rFonts w:ascii="Montserrat" w:eastAsia="Times New Roman" w:hAnsi="Montserrat" w:cs="Arial"/>
                <w:b/>
                <w:bCs/>
                <w:sz w:val="20"/>
                <w:szCs w:val="20"/>
              </w:rPr>
              <w:t>SALDO AL 31 DE DICIEMBRE DE 2023</w:t>
            </w:r>
          </w:p>
        </w:tc>
        <w:tc>
          <w:tcPr>
            <w:tcW w:w="1985" w:type="dxa"/>
            <w:vAlign w:val="center"/>
            <w:hideMark/>
          </w:tcPr>
          <w:p w14:paraId="6041BEBE" w14:textId="51529486" w:rsidR="00912EC3" w:rsidRPr="00C953B4" w:rsidRDefault="00912EC3" w:rsidP="004B3002">
            <w:pPr>
              <w:tabs>
                <w:tab w:val="left" w:pos="7260"/>
              </w:tabs>
              <w:jc w:val="center"/>
              <w:rPr>
                <w:rFonts w:ascii="Montserrat" w:eastAsia="Times New Roman" w:hAnsi="Montserrat" w:cs="Arial"/>
                <w:b/>
                <w:bCs/>
                <w:sz w:val="20"/>
                <w:szCs w:val="20"/>
              </w:rPr>
            </w:pPr>
            <w:r w:rsidRPr="00C953B4">
              <w:rPr>
                <w:rFonts w:ascii="Montserrat" w:eastAsia="Times New Roman" w:hAnsi="Montserrat" w:cs="Arial"/>
                <w:b/>
                <w:bCs/>
                <w:sz w:val="20"/>
                <w:szCs w:val="20"/>
              </w:rPr>
              <w:t xml:space="preserve">SALDO AL 30 DE </w:t>
            </w:r>
            <w:r w:rsidR="00403C91" w:rsidRPr="00C953B4">
              <w:rPr>
                <w:rFonts w:ascii="Montserrat" w:eastAsia="Times New Roman" w:hAnsi="Montserrat" w:cs="Arial"/>
                <w:b/>
                <w:bCs/>
                <w:sz w:val="20"/>
                <w:szCs w:val="20"/>
              </w:rPr>
              <w:t>SEPTIEMBRE</w:t>
            </w:r>
            <w:r w:rsidRPr="00C953B4">
              <w:rPr>
                <w:rFonts w:ascii="Montserrat" w:eastAsia="Times New Roman" w:hAnsi="Montserrat" w:cs="Arial"/>
                <w:b/>
                <w:bCs/>
                <w:sz w:val="20"/>
                <w:szCs w:val="20"/>
              </w:rPr>
              <w:t xml:space="preserve"> DE 2024</w:t>
            </w:r>
          </w:p>
        </w:tc>
        <w:tc>
          <w:tcPr>
            <w:tcW w:w="1843" w:type="dxa"/>
            <w:vAlign w:val="center"/>
            <w:hideMark/>
          </w:tcPr>
          <w:p w14:paraId="553F5E2E" w14:textId="77777777" w:rsidR="00912EC3" w:rsidRPr="00C953B4" w:rsidRDefault="00912EC3" w:rsidP="00403C91">
            <w:pPr>
              <w:tabs>
                <w:tab w:val="left" w:pos="7260"/>
              </w:tabs>
              <w:jc w:val="center"/>
              <w:rPr>
                <w:rFonts w:ascii="Montserrat" w:eastAsia="Times New Roman" w:hAnsi="Montserrat" w:cs="Arial"/>
                <w:b/>
                <w:bCs/>
                <w:sz w:val="20"/>
                <w:szCs w:val="20"/>
              </w:rPr>
            </w:pPr>
            <w:r w:rsidRPr="00C953B4">
              <w:rPr>
                <w:rFonts w:ascii="Montserrat" w:eastAsia="Times New Roman" w:hAnsi="Montserrat" w:cs="Arial"/>
                <w:b/>
                <w:bCs/>
                <w:sz w:val="20"/>
                <w:szCs w:val="20"/>
              </w:rPr>
              <w:t>DIFERENCIA</w:t>
            </w:r>
          </w:p>
        </w:tc>
      </w:tr>
      <w:tr w:rsidR="00403C91" w:rsidRPr="00C953B4" w14:paraId="0CDA1860" w14:textId="77777777" w:rsidTr="004B3002">
        <w:trPr>
          <w:trHeight w:val="315"/>
        </w:trPr>
        <w:tc>
          <w:tcPr>
            <w:tcW w:w="644" w:type="dxa"/>
            <w:vAlign w:val="center"/>
            <w:hideMark/>
          </w:tcPr>
          <w:p w14:paraId="3C96D9A2" w14:textId="66492C7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501</w:t>
            </w:r>
          </w:p>
        </w:tc>
        <w:tc>
          <w:tcPr>
            <w:tcW w:w="2753" w:type="dxa"/>
            <w:vAlign w:val="center"/>
            <w:hideMark/>
          </w:tcPr>
          <w:p w14:paraId="0227DE51" w14:textId="0891FCA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CAMINOS BIENESTAR</w:t>
            </w:r>
          </w:p>
        </w:tc>
        <w:tc>
          <w:tcPr>
            <w:tcW w:w="1701" w:type="dxa"/>
            <w:vAlign w:val="center"/>
            <w:hideMark/>
          </w:tcPr>
          <w:p w14:paraId="4E888152" w14:textId="230BC0F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933,701,697.30</w:t>
            </w:r>
          </w:p>
        </w:tc>
        <w:tc>
          <w:tcPr>
            <w:tcW w:w="1985" w:type="dxa"/>
            <w:vAlign w:val="center"/>
            <w:hideMark/>
          </w:tcPr>
          <w:p w14:paraId="65D613F6" w14:textId="7DC71AE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544,861,993.46</w:t>
            </w:r>
          </w:p>
        </w:tc>
        <w:tc>
          <w:tcPr>
            <w:tcW w:w="1843" w:type="dxa"/>
            <w:vAlign w:val="center"/>
            <w:hideMark/>
          </w:tcPr>
          <w:p w14:paraId="60C8A7CC" w14:textId="07C3316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-388,839,703.84</w:t>
            </w:r>
          </w:p>
        </w:tc>
      </w:tr>
      <w:tr w:rsidR="00403C91" w:rsidRPr="00C953B4" w14:paraId="40D462F4" w14:textId="77777777" w:rsidTr="004B3002">
        <w:trPr>
          <w:trHeight w:val="315"/>
        </w:trPr>
        <w:tc>
          <w:tcPr>
            <w:tcW w:w="644" w:type="dxa"/>
            <w:vAlign w:val="center"/>
            <w:hideMark/>
          </w:tcPr>
          <w:p w14:paraId="25E5D77E" w14:textId="78152D34"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502</w:t>
            </w:r>
          </w:p>
        </w:tc>
        <w:tc>
          <w:tcPr>
            <w:tcW w:w="2753" w:type="dxa"/>
            <w:vAlign w:val="center"/>
            <w:hideMark/>
          </w:tcPr>
          <w:p w14:paraId="7D88D496" w14:textId="04156FD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CASA DE LA CULTURA OAXAQUEÑA</w:t>
            </w:r>
          </w:p>
        </w:tc>
        <w:tc>
          <w:tcPr>
            <w:tcW w:w="1701" w:type="dxa"/>
            <w:vAlign w:val="center"/>
            <w:hideMark/>
          </w:tcPr>
          <w:p w14:paraId="05507A34" w14:textId="122E64B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1,168,281.89</w:t>
            </w:r>
          </w:p>
        </w:tc>
        <w:tc>
          <w:tcPr>
            <w:tcW w:w="1985" w:type="dxa"/>
            <w:vAlign w:val="center"/>
            <w:hideMark/>
          </w:tcPr>
          <w:p w14:paraId="7B6CCC2B" w14:textId="78C5B6D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1,168,281.89</w:t>
            </w:r>
          </w:p>
        </w:tc>
        <w:tc>
          <w:tcPr>
            <w:tcW w:w="1843" w:type="dxa"/>
            <w:vAlign w:val="center"/>
            <w:hideMark/>
          </w:tcPr>
          <w:p w14:paraId="17E17F11" w14:textId="54565AE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51CE5B52" w14:textId="77777777" w:rsidTr="004B3002">
        <w:trPr>
          <w:trHeight w:val="315"/>
        </w:trPr>
        <w:tc>
          <w:tcPr>
            <w:tcW w:w="644" w:type="dxa"/>
            <w:vAlign w:val="center"/>
            <w:hideMark/>
          </w:tcPr>
          <w:p w14:paraId="2EE4F1D3" w14:textId="29EE33FF"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504</w:t>
            </w:r>
          </w:p>
        </w:tc>
        <w:tc>
          <w:tcPr>
            <w:tcW w:w="2753" w:type="dxa"/>
            <w:vAlign w:val="center"/>
            <w:hideMark/>
          </w:tcPr>
          <w:p w14:paraId="201DF48F" w14:textId="64CA5FB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CENTRO DE LAS ARTES DE SAN AGUSTÍN</w:t>
            </w:r>
          </w:p>
        </w:tc>
        <w:tc>
          <w:tcPr>
            <w:tcW w:w="1701" w:type="dxa"/>
            <w:vAlign w:val="center"/>
            <w:hideMark/>
          </w:tcPr>
          <w:p w14:paraId="383BE1AC" w14:textId="6FD8802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2,040,086.18</w:t>
            </w:r>
          </w:p>
        </w:tc>
        <w:tc>
          <w:tcPr>
            <w:tcW w:w="1985" w:type="dxa"/>
            <w:vAlign w:val="center"/>
            <w:hideMark/>
          </w:tcPr>
          <w:p w14:paraId="6C4D6783" w14:textId="603317B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2,120,086.18</w:t>
            </w:r>
          </w:p>
        </w:tc>
        <w:tc>
          <w:tcPr>
            <w:tcW w:w="1843" w:type="dxa"/>
            <w:vAlign w:val="center"/>
            <w:hideMark/>
          </w:tcPr>
          <w:p w14:paraId="7088F93C" w14:textId="5CF72FC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80,000.00</w:t>
            </w:r>
          </w:p>
        </w:tc>
      </w:tr>
      <w:tr w:rsidR="00403C91" w:rsidRPr="00C953B4" w14:paraId="06CDF5C1" w14:textId="77777777" w:rsidTr="004B3002">
        <w:trPr>
          <w:trHeight w:val="315"/>
        </w:trPr>
        <w:tc>
          <w:tcPr>
            <w:tcW w:w="644" w:type="dxa"/>
            <w:vAlign w:val="center"/>
            <w:hideMark/>
          </w:tcPr>
          <w:p w14:paraId="7492419C" w14:textId="776C6FC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506</w:t>
            </w:r>
          </w:p>
        </w:tc>
        <w:tc>
          <w:tcPr>
            <w:tcW w:w="2753" w:type="dxa"/>
            <w:vAlign w:val="center"/>
            <w:hideMark/>
          </w:tcPr>
          <w:p w14:paraId="29EC024C" w14:textId="007608C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COLEGIO DE BACHILLERES DEL ESTADO DE OAXACA</w:t>
            </w:r>
          </w:p>
        </w:tc>
        <w:tc>
          <w:tcPr>
            <w:tcW w:w="1701" w:type="dxa"/>
            <w:vAlign w:val="center"/>
            <w:hideMark/>
          </w:tcPr>
          <w:p w14:paraId="5E20E491" w14:textId="6921CCC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255,249,332.71</w:t>
            </w:r>
          </w:p>
        </w:tc>
        <w:tc>
          <w:tcPr>
            <w:tcW w:w="1985" w:type="dxa"/>
            <w:vAlign w:val="center"/>
            <w:hideMark/>
          </w:tcPr>
          <w:p w14:paraId="2EED690A" w14:textId="6CD8C884"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254,169,655.91</w:t>
            </w:r>
          </w:p>
        </w:tc>
        <w:tc>
          <w:tcPr>
            <w:tcW w:w="1843" w:type="dxa"/>
            <w:vAlign w:val="center"/>
            <w:hideMark/>
          </w:tcPr>
          <w:p w14:paraId="64E380B8" w14:textId="0C0191D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-1,079,676.80</w:t>
            </w:r>
          </w:p>
        </w:tc>
      </w:tr>
      <w:tr w:rsidR="00403C91" w:rsidRPr="00C953B4" w14:paraId="3DF72807" w14:textId="77777777" w:rsidTr="004B3002">
        <w:trPr>
          <w:trHeight w:val="465"/>
        </w:trPr>
        <w:tc>
          <w:tcPr>
            <w:tcW w:w="644" w:type="dxa"/>
            <w:vAlign w:val="center"/>
            <w:hideMark/>
          </w:tcPr>
          <w:p w14:paraId="26599799" w14:textId="16577AB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507</w:t>
            </w:r>
          </w:p>
        </w:tc>
        <w:tc>
          <w:tcPr>
            <w:tcW w:w="2753" w:type="dxa"/>
            <w:vAlign w:val="center"/>
            <w:hideMark/>
          </w:tcPr>
          <w:p w14:paraId="5619A20C" w14:textId="7CDB762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COLEGIO DE ESTUDIOS CIENTÍFICOS Y TECNOLÓGICOS DEL ESTADO DE OAXACA</w:t>
            </w:r>
          </w:p>
        </w:tc>
        <w:tc>
          <w:tcPr>
            <w:tcW w:w="1701" w:type="dxa"/>
            <w:vAlign w:val="center"/>
            <w:hideMark/>
          </w:tcPr>
          <w:p w14:paraId="306A7B8E" w14:textId="2D3B9B7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1,471,473,161.24</w:t>
            </w:r>
          </w:p>
        </w:tc>
        <w:tc>
          <w:tcPr>
            <w:tcW w:w="1985" w:type="dxa"/>
            <w:vAlign w:val="center"/>
            <w:hideMark/>
          </w:tcPr>
          <w:p w14:paraId="0012BE39" w14:textId="1696F122"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1,511,478,017.68</w:t>
            </w:r>
          </w:p>
        </w:tc>
        <w:tc>
          <w:tcPr>
            <w:tcW w:w="1843" w:type="dxa"/>
            <w:vAlign w:val="center"/>
            <w:hideMark/>
          </w:tcPr>
          <w:p w14:paraId="6A1836B2" w14:textId="126055B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40,004,856.44</w:t>
            </w:r>
          </w:p>
        </w:tc>
      </w:tr>
      <w:tr w:rsidR="00403C91" w:rsidRPr="00C953B4" w14:paraId="496CAAF7" w14:textId="77777777" w:rsidTr="004B3002">
        <w:trPr>
          <w:trHeight w:val="465"/>
        </w:trPr>
        <w:tc>
          <w:tcPr>
            <w:tcW w:w="644" w:type="dxa"/>
            <w:vAlign w:val="center"/>
            <w:hideMark/>
          </w:tcPr>
          <w:p w14:paraId="4DC76218" w14:textId="7D3A0EDF"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lastRenderedPageBreak/>
              <w:t>508</w:t>
            </w:r>
          </w:p>
        </w:tc>
        <w:tc>
          <w:tcPr>
            <w:tcW w:w="2753" w:type="dxa"/>
            <w:vAlign w:val="center"/>
            <w:hideMark/>
          </w:tcPr>
          <w:p w14:paraId="750B0C7B" w14:textId="7F435236"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COLEGIO SUPERIOR PARA LA EDUCACIÓN INTEGRAL INTERCULTURAL DE OAXACA</w:t>
            </w:r>
          </w:p>
        </w:tc>
        <w:tc>
          <w:tcPr>
            <w:tcW w:w="1701" w:type="dxa"/>
            <w:vAlign w:val="center"/>
            <w:hideMark/>
          </w:tcPr>
          <w:p w14:paraId="43EABBC0" w14:textId="5E63411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47,353,178.55</w:t>
            </w:r>
          </w:p>
        </w:tc>
        <w:tc>
          <w:tcPr>
            <w:tcW w:w="1985" w:type="dxa"/>
            <w:vAlign w:val="center"/>
            <w:hideMark/>
          </w:tcPr>
          <w:p w14:paraId="1F319256" w14:textId="53DE8FB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47,263,725.63</w:t>
            </w:r>
          </w:p>
        </w:tc>
        <w:tc>
          <w:tcPr>
            <w:tcW w:w="1843" w:type="dxa"/>
            <w:vAlign w:val="center"/>
            <w:hideMark/>
          </w:tcPr>
          <w:p w14:paraId="4BC7C210" w14:textId="5F4762F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-89,452.92</w:t>
            </w:r>
          </w:p>
        </w:tc>
      </w:tr>
      <w:tr w:rsidR="00403C91" w:rsidRPr="00C953B4" w14:paraId="7A28BB6D" w14:textId="77777777" w:rsidTr="004B3002">
        <w:trPr>
          <w:trHeight w:val="315"/>
        </w:trPr>
        <w:tc>
          <w:tcPr>
            <w:tcW w:w="644" w:type="dxa"/>
            <w:vAlign w:val="center"/>
            <w:hideMark/>
          </w:tcPr>
          <w:p w14:paraId="68E7A6AF" w14:textId="7F663C65"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511</w:t>
            </w:r>
          </w:p>
        </w:tc>
        <w:tc>
          <w:tcPr>
            <w:tcW w:w="2753" w:type="dxa"/>
            <w:vAlign w:val="center"/>
            <w:hideMark/>
          </w:tcPr>
          <w:p w14:paraId="19F2896D" w14:textId="65AE884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VIVIENDA BIENESTAR</w:t>
            </w:r>
          </w:p>
        </w:tc>
        <w:tc>
          <w:tcPr>
            <w:tcW w:w="1701" w:type="dxa"/>
            <w:vAlign w:val="center"/>
            <w:hideMark/>
          </w:tcPr>
          <w:p w14:paraId="088EEC20" w14:textId="73DD85F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345,465,113.84</w:t>
            </w:r>
          </w:p>
        </w:tc>
        <w:tc>
          <w:tcPr>
            <w:tcW w:w="1985" w:type="dxa"/>
            <w:vAlign w:val="center"/>
            <w:hideMark/>
          </w:tcPr>
          <w:p w14:paraId="6E052CB6" w14:textId="02E4111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47,810,118.01</w:t>
            </w:r>
          </w:p>
        </w:tc>
        <w:tc>
          <w:tcPr>
            <w:tcW w:w="1843" w:type="dxa"/>
            <w:vAlign w:val="center"/>
            <w:hideMark/>
          </w:tcPr>
          <w:p w14:paraId="57913EF2" w14:textId="2CB8C97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-297,654,995.83</w:t>
            </w:r>
          </w:p>
        </w:tc>
      </w:tr>
      <w:tr w:rsidR="00403C91" w:rsidRPr="00C953B4" w14:paraId="78FBB5A3" w14:textId="77777777" w:rsidTr="004B3002">
        <w:trPr>
          <w:trHeight w:val="315"/>
        </w:trPr>
        <w:tc>
          <w:tcPr>
            <w:tcW w:w="644" w:type="dxa"/>
            <w:vAlign w:val="center"/>
            <w:hideMark/>
          </w:tcPr>
          <w:p w14:paraId="07AB4BEC" w14:textId="5B5A4A7C"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512</w:t>
            </w:r>
          </w:p>
        </w:tc>
        <w:tc>
          <w:tcPr>
            <w:tcW w:w="2753" w:type="dxa"/>
            <w:vAlign w:val="center"/>
            <w:hideMark/>
          </w:tcPr>
          <w:p w14:paraId="518C5202" w14:textId="390F1F27"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COMISIÓN ESTATAL DEL AGUA PARA EL BIENESTAR</w:t>
            </w:r>
          </w:p>
        </w:tc>
        <w:tc>
          <w:tcPr>
            <w:tcW w:w="1701" w:type="dxa"/>
            <w:vAlign w:val="center"/>
            <w:hideMark/>
          </w:tcPr>
          <w:p w14:paraId="0F32F630" w14:textId="501A12F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1,867,083,506.84</w:t>
            </w:r>
          </w:p>
        </w:tc>
        <w:tc>
          <w:tcPr>
            <w:tcW w:w="1985" w:type="dxa"/>
            <w:vAlign w:val="center"/>
            <w:hideMark/>
          </w:tcPr>
          <w:p w14:paraId="311B52A6" w14:textId="0FB1A81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1,540,222,316.20</w:t>
            </w:r>
          </w:p>
        </w:tc>
        <w:tc>
          <w:tcPr>
            <w:tcW w:w="1843" w:type="dxa"/>
            <w:vAlign w:val="center"/>
            <w:hideMark/>
          </w:tcPr>
          <w:p w14:paraId="003E8187" w14:textId="44C356E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-326,861,190.64</w:t>
            </w:r>
          </w:p>
        </w:tc>
      </w:tr>
      <w:tr w:rsidR="00403C91" w:rsidRPr="00C953B4" w14:paraId="6221A22E" w14:textId="77777777" w:rsidTr="004B3002">
        <w:trPr>
          <w:trHeight w:val="315"/>
        </w:trPr>
        <w:tc>
          <w:tcPr>
            <w:tcW w:w="644" w:type="dxa"/>
            <w:vAlign w:val="center"/>
            <w:hideMark/>
          </w:tcPr>
          <w:p w14:paraId="6B7424C0" w14:textId="3BF2BD3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513</w:t>
            </w:r>
          </w:p>
        </w:tc>
        <w:tc>
          <w:tcPr>
            <w:tcW w:w="2753" w:type="dxa"/>
            <w:vAlign w:val="center"/>
            <w:hideMark/>
          </w:tcPr>
          <w:p w14:paraId="61B2CF9C" w14:textId="3593D44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COMISIÓN ESTATAL FORESTAL</w:t>
            </w:r>
          </w:p>
        </w:tc>
        <w:tc>
          <w:tcPr>
            <w:tcW w:w="1701" w:type="dxa"/>
            <w:vAlign w:val="center"/>
            <w:hideMark/>
          </w:tcPr>
          <w:p w14:paraId="23D3893D" w14:textId="6509C11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8,225,988.39</w:t>
            </w:r>
          </w:p>
        </w:tc>
        <w:tc>
          <w:tcPr>
            <w:tcW w:w="1985" w:type="dxa"/>
            <w:vAlign w:val="center"/>
            <w:hideMark/>
          </w:tcPr>
          <w:p w14:paraId="05449C6A" w14:textId="6DB389F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8,309,965.75</w:t>
            </w:r>
          </w:p>
        </w:tc>
        <w:tc>
          <w:tcPr>
            <w:tcW w:w="1843" w:type="dxa"/>
            <w:vAlign w:val="center"/>
            <w:hideMark/>
          </w:tcPr>
          <w:p w14:paraId="34314B47" w14:textId="7594E19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83,977.36</w:t>
            </w:r>
          </w:p>
        </w:tc>
      </w:tr>
      <w:tr w:rsidR="00403C91" w:rsidRPr="00C953B4" w14:paraId="0AEF1D8C" w14:textId="77777777" w:rsidTr="004B3002">
        <w:trPr>
          <w:trHeight w:val="465"/>
        </w:trPr>
        <w:tc>
          <w:tcPr>
            <w:tcW w:w="644" w:type="dxa"/>
            <w:vAlign w:val="center"/>
            <w:hideMark/>
          </w:tcPr>
          <w:p w14:paraId="3F57B22D" w14:textId="5317BCCA"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514</w:t>
            </w:r>
          </w:p>
        </w:tc>
        <w:tc>
          <w:tcPr>
            <w:tcW w:w="2753" w:type="dxa"/>
            <w:vAlign w:val="center"/>
            <w:hideMark/>
          </w:tcPr>
          <w:p w14:paraId="225B3EAB" w14:textId="6BB08E5F"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COMISIÓN ESTATAL PARA LA PLANEACIÓN DE LA EDUCACIÓN SUPERIOR EN EL ESTADO DE OAXACA</w:t>
            </w:r>
          </w:p>
        </w:tc>
        <w:tc>
          <w:tcPr>
            <w:tcW w:w="1701" w:type="dxa"/>
            <w:vAlign w:val="center"/>
            <w:hideMark/>
          </w:tcPr>
          <w:p w14:paraId="217FE331" w14:textId="5525E25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167,021.85</w:t>
            </w:r>
          </w:p>
        </w:tc>
        <w:tc>
          <w:tcPr>
            <w:tcW w:w="1985" w:type="dxa"/>
            <w:vAlign w:val="center"/>
            <w:hideMark/>
          </w:tcPr>
          <w:p w14:paraId="423B83B3" w14:textId="4C5151F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167,021.85</w:t>
            </w:r>
          </w:p>
        </w:tc>
        <w:tc>
          <w:tcPr>
            <w:tcW w:w="1843" w:type="dxa"/>
            <w:vAlign w:val="center"/>
            <w:hideMark/>
          </w:tcPr>
          <w:p w14:paraId="00384D03" w14:textId="5865C8E4"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2F0B6A3E" w14:textId="77777777" w:rsidTr="004B3002">
        <w:trPr>
          <w:trHeight w:val="465"/>
        </w:trPr>
        <w:tc>
          <w:tcPr>
            <w:tcW w:w="644" w:type="dxa"/>
            <w:vAlign w:val="center"/>
            <w:hideMark/>
          </w:tcPr>
          <w:p w14:paraId="124D32D8" w14:textId="3E5E800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515</w:t>
            </w:r>
          </w:p>
        </w:tc>
        <w:tc>
          <w:tcPr>
            <w:tcW w:w="2753" w:type="dxa"/>
            <w:vAlign w:val="center"/>
            <w:hideMark/>
          </w:tcPr>
          <w:p w14:paraId="36A4460D" w14:textId="24C61AB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COMISIÓN ESTATAL PARA LA PLANEACIÓN Y PROGRAMACIÓN DE LA EDUCACIÓN MEDIA SUPERIOR DEL ESTADO DE OAXACA</w:t>
            </w:r>
          </w:p>
        </w:tc>
        <w:tc>
          <w:tcPr>
            <w:tcW w:w="1701" w:type="dxa"/>
            <w:vAlign w:val="center"/>
            <w:hideMark/>
          </w:tcPr>
          <w:p w14:paraId="57203727" w14:textId="0063E83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36,487.75</w:t>
            </w:r>
          </w:p>
        </w:tc>
        <w:tc>
          <w:tcPr>
            <w:tcW w:w="1985" w:type="dxa"/>
            <w:vAlign w:val="center"/>
            <w:hideMark/>
          </w:tcPr>
          <w:p w14:paraId="09F0ADD6" w14:textId="1C2C3B3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36,487.75</w:t>
            </w:r>
          </w:p>
        </w:tc>
        <w:tc>
          <w:tcPr>
            <w:tcW w:w="1843" w:type="dxa"/>
            <w:vAlign w:val="center"/>
            <w:hideMark/>
          </w:tcPr>
          <w:p w14:paraId="714995F9" w14:textId="5C211BB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30112289" w14:textId="77777777" w:rsidTr="004B3002">
        <w:trPr>
          <w:trHeight w:val="465"/>
        </w:trPr>
        <w:tc>
          <w:tcPr>
            <w:tcW w:w="644" w:type="dxa"/>
            <w:vAlign w:val="center"/>
            <w:hideMark/>
          </w:tcPr>
          <w:p w14:paraId="63F79EDE" w14:textId="371568BC"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516</w:t>
            </w:r>
          </w:p>
        </w:tc>
        <w:tc>
          <w:tcPr>
            <w:tcW w:w="2753" w:type="dxa"/>
            <w:vAlign w:val="center"/>
            <w:hideMark/>
          </w:tcPr>
          <w:p w14:paraId="2D969C64" w14:textId="3174946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COMISIÓN PARA LA REGULARIZACIÓN DE LA TENENCIA DE LA TIERRA URBANA DEL ESTADO DE OAXACA</w:t>
            </w:r>
          </w:p>
        </w:tc>
        <w:tc>
          <w:tcPr>
            <w:tcW w:w="1701" w:type="dxa"/>
            <w:vAlign w:val="center"/>
            <w:hideMark/>
          </w:tcPr>
          <w:p w14:paraId="05FA77D5" w14:textId="1CD1121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271,607.94</w:t>
            </w:r>
          </w:p>
        </w:tc>
        <w:tc>
          <w:tcPr>
            <w:tcW w:w="1985" w:type="dxa"/>
            <w:vAlign w:val="center"/>
            <w:hideMark/>
          </w:tcPr>
          <w:p w14:paraId="74D3CF23" w14:textId="510474B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271,607.94</w:t>
            </w:r>
          </w:p>
        </w:tc>
        <w:tc>
          <w:tcPr>
            <w:tcW w:w="1843" w:type="dxa"/>
            <w:vAlign w:val="center"/>
            <w:hideMark/>
          </w:tcPr>
          <w:p w14:paraId="7CBE6AB8" w14:textId="641C6AA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10D13521" w14:textId="77777777" w:rsidTr="004B3002">
        <w:trPr>
          <w:trHeight w:val="315"/>
        </w:trPr>
        <w:tc>
          <w:tcPr>
            <w:tcW w:w="644" w:type="dxa"/>
            <w:vAlign w:val="center"/>
            <w:hideMark/>
          </w:tcPr>
          <w:p w14:paraId="1C66A7D4" w14:textId="41636A85"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517</w:t>
            </w:r>
          </w:p>
        </w:tc>
        <w:tc>
          <w:tcPr>
            <w:tcW w:w="2753" w:type="dxa"/>
            <w:vAlign w:val="center"/>
            <w:hideMark/>
          </w:tcPr>
          <w:p w14:paraId="2941437D" w14:textId="25F5F277"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CONSEJO ESTATAL PARA LA PREVENCIÓN Y CONTROL DEL SIDA</w:t>
            </w:r>
          </w:p>
        </w:tc>
        <w:tc>
          <w:tcPr>
            <w:tcW w:w="1701" w:type="dxa"/>
            <w:vAlign w:val="center"/>
            <w:hideMark/>
          </w:tcPr>
          <w:p w14:paraId="47C6D339" w14:textId="6E5F4DF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21,715,478.07</w:t>
            </w:r>
          </w:p>
        </w:tc>
        <w:tc>
          <w:tcPr>
            <w:tcW w:w="1985" w:type="dxa"/>
            <w:vAlign w:val="center"/>
            <w:hideMark/>
          </w:tcPr>
          <w:p w14:paraId="31A2101E" w14:textId="6AEB764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21,661,945.44</w:t>
            </w:r>
          </w:p>
        </w:tc>
        <w:tc>
          <w:tcPr>
            <w:tcW w:w="1843" w:type="dxa"/>
            <w:vAlign w:val="center"/>
            <w:hideMark/>
          </w:tcPr>
          <w:p w14:paraId="315123A5" w14:textId="6081AAB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-53,532.63</w:t>
            </w:r>
          </w:p>
        </w:tc>
      </w:tr>
      <w:tr w:rsidR="00403C91" w:rsidRPr="00C953B4" w14:paraId="2486A8E2" w14:textId="77777777" w:rsidTr="004B3002">
        <w:trPr>
          <w:trHeight w:val="315"/>
        </w:trPr>
        <w:tc>
          <w:tcPr>
            <w:tcW w:w="644" w:type="dxa"/>
            <w:vAlign w:val="center"/>
            <w:hideMark/>
          </w:tcPr>
          <w:p w14:paraId="44EFF1B4" w14:textId="61FD88A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519</w:t>
            </w:r>
          </w:p>
        </w:tc>
        <w:tc>
          <w:tcPr>
            <w:tcW w:w="2753" w:type="dxa"/>
            <w:vAlign w:val="center"/>
            <w:hideMark/>
          </w:tcPr>
          <w:p w14:paraId="44186181" w14:textId="04AFA0A8"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CONSEJO OAXAQUEÑO DE CIENCIA, TECNOLOGÍA E INNOVACIÓN.</w:t>
            </w:r>
          </w:p>
        </w:tc>
        <w:tc>
          <w:tcPr>
            <w:tcW w:w="1701" w:type="dxa"/>
            <w:vAlign w:val="center"/>
            <w:hideMark/>
          </w:tcPr>
          <w:p w14:paraId="766166E7" w14:textId="4D6C754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625,094.42</w:t>
            </w:r>
          </w:p>
        </w:tc>
        <w:tc>
          <w:tcPr>
            <w:tcW w:w="1985" w:type="dxa"/>
            <w:vAlign w:val="center"/>
            <w:hideMark/>
          </w:tcPr>
          <w:p w14:paraId="11B5B258" w14:textId="3ED770F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625,094.42</w:t>
            </w:r>
          </w:p>
        </w:tc>
        <w:tc>
          <w:tcPr>
            <w:tcW w:w="1843" w:type="dxa"/>
            <w:vAlign w:val="center"/>
            <w:hideMark/>
          </w:tcPr>
          <w:p w14:paraId="0287885A" w14:textId="4FD7E87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616D4D44" w14:textId="77777777" w:rsidTr="004B3002">
        <w:trPr>
          <w:trHeight w:val="465"/>
        </w:trPr>
        <w:tc>
          <w:tcPr>
            <w:tcW w:w="644" w:type="dxa"/>
            <w:vAlign w:val="center"/>
            <w:hideMark/>
          </w:tcPr>
          <w:p w14:paraId="5D09A4D1" w14:textId="09CC6E1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520</w:t>
            </w:r>
          </w:p>
        </w:tc>
        <w:tc>
          <w:tcPr>
            <w:tcW w:w="2753" w:type="dxa"/>
            <w:vAlign w:val="center"/>
            <w:hideMark/>
          </w:tcPr>
          <w:p w14:paraId="5604D80A" w14:textId="6C19D94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COORDINACIÓN ESTATAL DE PROTECCIÓN CIVIL Y GESTIÓN DE RIESGOS</w:t>
            </w:r>
          </w:p>
        </w:tc>
        <w:tc>
          <w:tcPr>
            <w:tcW w:w="1701" w:type="dxa"/>
            <w:vAlign w:val="center"/>
            <w:hideMark/>
          </w:tcPr>
          <w:p w14:paraId="12E0E9FA" w14:textId="247D9D9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2,968,706.71</w:t>
            </w:r>
          </w:p>
        </w:tc>
        <w:tc>
          <w:tcPr>
            <w:tcW w:w="1985" w:type="dxa"/>
            <w:vAlign w:val="center"/>
            <w:hideMark/>
          </w:tcPr>
          <w:p w14:paraId="597CD657" w14:textId="4994DA6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2,968,706.71</w:t>
            </w:r>
          </w:p>
        </w:tc>
        <w:tc>
          <w:tcPr>
            <w:tcW w:w="1843" w:type="dxa"/>
            <w:vAlign w:val="center"/>
            <w:hideMark/>
          </w:tcPr>
          <w:p w14:paraId="25379C20" w14:textId="11B833A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3BF9A438" w14:textId="77777777" w:rsidTr="004B3002">
        <w:trPr>
          <w:trHeight w:val="315"/>
        </w:trPr>
        <w:tc>
          <w:tcPr>
            <w:tcW w:w="644" w:type="dxa"/>
            <w:vAlign w:val="center"/>
            <w:hideMark/>
          </w:tcPr>
          <w:p w14:paraId="393A1B25" w14:textId="6268103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521</w:t>
            </w:r>
          </w:p>
        </w:tc>
        <w:tc>
          <w:tcPr>
            <w:tcW w:w="2753" w:type="dxa"/>
            <w:vAlign w:val="center"/>
            <w:hideMark/>
          </w:tcPr>
          <w:p w14:paraId="0530346F" w14:textId="7FB4ACA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CORPORACIÓN OAXAQUEÑA DE RADIO Y TELEVISIÓN</w:t>
            </w:r>
          </w:p>
        </w:tc>
        <w:tc>
          <w:tcPr>
            <w:tcW w:w="1701" w:type="dxa"/>
            <w:vAlign w:val="center"/>
            <w:hideMark/>
          </w:tcPr>
          <w:p w14:paraId="25583F92" w14:textId="7B42CA1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170,613,607.89</w:t>
            </w:r>
          </w:p>
        </w:tc>
        <w:tc>
          <w:tcPr>
            <w:tcW w:w="1985" w:type="dxa"/>
            <w:vAlign w:val="center"/>
            <w:hideMark/>
          </w:tcPr>
          <w:p w14:paraId="458B9530" w14:textId="44DB57F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170,598,747.84</w:t>
            </w:r>
          </w:p>
        </w:tc>
        <w:tc>
          <w:tcPr>
            <w:tcW w:w="1843" w:type="dxa"/>
            <w:vAlign w:val="center"/>
            <w:hideMark/>
          </w:tcPr>
          <w:p w14:paraId="16E7216A" w14:textId="2292C21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-14,860.05</w:t>
            </w:r>
          </w:p>
        </w:tc>
      </w:tr>
      <w:tr w:rsidR="00403C91" w:rsidRPr="00C953B4" w14:paraId="137C16A9" w14:textId="77777777" w:rsidTr="004B3002">
        <w:trPr>
          <w:trHeight w:val="465"/>
        </w:trPr>
        <w:tc>
          <w:tcPr>
            <w:tcW w:w="644" w:type="dxa"/>
            <w:vAlign w:val="center"/>
            <w:hideMark/>
          </w:tcPr>
          <w:p w14:paraId="731DC179" w14:textId="2C17B35F"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522</w:t>
            </w:r>
          </w:p>
        </w:tc>
        <w:tc>
          <w:tcPr>
            <w:tcW w:w="2753" w:type="dxa"/>
            <w:vAlign w:val="center"/>
            <w:hideMark/>
          </w:tcPr>
          <w:p w14:paraId="57942396" w14:textId="1F910A11"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 xml:space="preserve">DIRECCIÓN GENERAL DE POBLACIÓN DE </w:t>
            </w:r>
            <w:r w:rsidRPr="00C953B4">
              <w:rPr>
                <w:rFonts w:ascii="Montserrat" w:hAnsi="Montserrat" w:cs="Calibri"/>
                <w:color w:val="000000"/>
                <w:sz w:val="20"/>
                <w:szCs w:val="20"/>
              </w:rPr>
              <w:lastRenderedPageBreak/>
              <w:t>OAXACA (EXTINTO DECRETO NUM. 1719)</w:t>
            </w:r>
          </w:p>
        </w:tc>
        <w:tc>
          <w:tcPr>
            <w:tcW w:w="1701" w:type="dxa"/>
            <w:vAlign w:val="center"/>
            <w:hideMark/>
          </w:tcPr>
          <w:p w14:paraId="6926093B" w14:textId="06DC4EE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lastRenderedPageBreak/>
              <w:t>166,360.61</w:t>
            </w:r>
          </w:p>
        </w:tc>
        <w:tc>
          <w:tcPr>
            <w:tcW w:w="1985" w:type="dxa"/>
            <w:vAlign w:val="center"/>
            <w:hideMark/>
          </w:tcPr>
          <w:p w14:paraId="733D112B" w14:textId="172FC60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704.30</w:t>
            </w:r>
          </w:p>
        </w:tc>
        <w:tc>
          <w:tcPr>
            <w:tcW w:w="1843" w:type="dxa"/>
            <w:vAlign w:val="center"/>
            <w:hideMark/>
          </w:tcPr>
          <w:p w14:paraId="08C89EAD" w14:textId="0AFD91F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-165,656.31</w:t>
            </w:r>
          </w:p>
        </w:tc>
      </w:tr>
      <w:tr w:rsidR="00403C91" w:rsidRPr="00C953B4" w14:paraId="716A8BCD" w14:textId="77777777" w:rsidTr="004B3002">
        <w:trPr>
          <w:trHeight w:val="315"/>
        </w:trPr>
        <w:tc>
          <w:tcPr>
            <w:tcW w:w="644" w:type="dxa"/>
            <w:vAlign w:val="center"/>
            <w:hideMark/>
          </w:tcPr>
          <w:p w14:paraId="1A7E13A2" w14:textId="370BFF4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523</w:t>
            </w:r>
          </w:p>
        </w:tc>
        <w:tc>
          <w:tcPr>
            <w:tcW w:w="2753" w:type="dxa"/>
            <w:vAlign w:val="center"/>
            <w:hideMark/>
          </w:tcPr>
          <w:p w14:paraId="71C3F734" w14:textId="2AB19AF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HOSPITAL DE LA NIÑEZ OAXAQUEÑA</w:t>
            </w:r>
          </w:p>
        </w:tc>
        <w:tc>
          <w:tcPr>
            <w:tcW w:w="1701" w:type="dxa"/>
            <w:vAlign w:val="center"/>
            <w:hideMark/>
          </w:tcPr>
          <w:p w14:paraId="05EF7F6E" w14:textId="112BC75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77,684,425.26</w:t>
            </w:r>
          </w:p>
        </w:tc>
        <w:tc>
          <w:tcPr>
            <w:tcW w:w="1985" w:type="dxa"/>
            <w:vAlign w:val="center"/>
            <w:hideMark/>
          </w:tcPr>
          <w:p w14:paraId="4FF8440D" w14:textId="21ACE2D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77,669,128.26</w:t>
            </w:r>
          </w:p>
        </w:tc>
        <w:tc>
          <w:tcPr>
            <w:tcW w:w="1843" w:type="dxa"/>
            <w:vAlign w:val="center"/>
            <w:hideMark/>
          </w:tcPr>
          <w:p w14:paraId="02577D32" w14:textId="756757C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-15,297.00</w:t>
            </w:r>
          </w:p>
        </w:tc>
      </w:tr>
      <w:tr w:rsidR="00403C91" w:rsidRPr="00C953B4" w14:paraId="2B8EC134" w14:textId="77777777" w:rsidTr="004B3002">
        <w:trPr>
          <w:trHeight w:val="465"/>
        </w:trPr>
        <w:tc>
          <w:tcPr>
            <w:tcW w:w="644" w:type="dxa"/>
            <w:vAlign w:val="center"/>
            <w:hideMark/>
          </w:tcPr>
          <w:p w14:paraId="1F8230DC" w14:textId="6206116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524</w:t>
            </w:r>
          </w:p>
        </w:tc>
        <w:tc>
          <w:tcPr>
            <w:tcW w:w="2753" w:type="dxa"/>
            <w:vAlign w:val="center"/>
            <w:hideMark/>
          </w:tcPr>
          <w:p w14:paraId="60993C5D" w14:textId="737EF91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DE CAPACITACIÓN Y PRODUCTIVIDAD PARA EL TRABAJO DEL ESTADO DE OAXACA</w:t>
            </w:r>
          </w:p>
        </w:tc>
        <w:tc>
          <w:tcPr>
            <w:tcW w:w="1701" w:type="dxa"/>
            <w:vAlign w:val="center"/>
            <w:hideMark/>
          </w:tcPr>
          <w:p w14:paraId="71ADB0D2" w14:textId="7ECE454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62,269,516.77</w:t>
            </w:r>
          </w:p>
        </w:tc>
        <w:tc>
          <w:tcPr>
            <w:tcW w:w="1985" w:type="dxa"/>
            <w:vAlign w:val="center"/>
            <w:hideMark/>
          </w:tcPr>
          <w:p w14:paraId="2F655DDA" w14:textId="3FD6749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59,239,064.84</w:t>
            </w:r>
          </w:p>
        </w:tc>
        <w:tc>
          <w:tcPr>
            <w:tcW w:w="1843" w:type="dxa"/>
            <w:vAlign w:val="center"/>
            <w:hideMark/>
          </w:tcPr>
          <w:p w14:paraId="5ECE4DE2" w14:textId="16AD9D2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-3,030,451.93</w:t>
            </w:r>
          </w:p>
        </w:tc>
      </w:tr>
      <w:tr w:rsidR="00403C91" w:rsidRPr="00C953B4" w14:paraId="2A52014D" w14:textId="77777777" w:rsidTr="004B3002">
        <w:trPr>
          <w:trHeight w:val="465"/>
        </w:trPr>
        <w:tc>
          <w:tcPr>
            <w:tcW w:w="644" w:type="dxa"/>
            <w:vAlign w:val="center"/>
            <w:hideMark/>
          </w:tcPr>
          <w:p w14:paraId="1E96A329" w14:textId="3BE6142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525</w:t>
            </w:r>
          </w:p>
        </w:tc>
        <w:tc>
          <w:tcPr>
            <w:tcW w:w="2753" w:type="dxa"/>
            <w:vAlign w:val="center"/>
            <w:hideMark/>
          </w:tcPr>
          <w:p w14:paraId="13FE2960" w14:textId="69CC7488"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DE ESTUDIOS DE BACHILLERATO DEL ESTADO DE OAXACA</w:t>
            </w:r>
          </w:p>
        </w:tc>
        <w:tc>
          <w:tcPr>
            <w:tcW w:w="1701" w:type="dxa"/>
            <w:vAlign w:val="center"/>
            <w:hideMark/>
          </w:tcPr>
          <w:p w14:paraId="1885F44F" w14:textId="78E6EE1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22,186,335.03</w:t>
            </w:r>
          </w:p>
        </w:tc>
        <w:tc>
          <w:tcPr>
            <w:tcW w:w="1985" w:type="dxa"/>
            <w:vAlign w:val="center"/>
            <w:hideMark/>
          </w:tcPr>
          <w:p w14:paraId="65FA4986" w14:textId="4682B6F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22,307,528.70</w:t>
            </w:r>
          </w:p>
        </w:tc>
        <w:tc>
          <w:tcPr>
            <w:tcW w:w="1843" w:type="dxa"/>
            <w:vAlign w:val="center"/>
            <w:hideMark/>
          </w:tcPr>
          <w:p w14:paraId="4DE376D1" w14:textId="0D9658F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121,193.67</w:t>
            </w:r>
          </w:p>
        </w:tc>
      </w:tr>
      <w:tr w:rsidR="00403C91" w:rsidRPr="00C953B4" w14:paraId="64706AEE" w14:textId="77777777" w:rsidTr="004B3002">
        <w:trPr>
          <w:trHeight w:val="315"/>
        </w:trPr>
        <w:tc>
          <w:tcPr>
            <w:tcW w:w="644" w:type="dxa"/>
            <w:vAlign w:val="center"/>
            <w:hideMark/>
          </w:tcPr>
          <w:p w14:paraId="2708A47E" w14:textId="416DE55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526</w:t>
            </w:r>
          </w:p>
        </w:tc>
        <w:tc>
          <w:tcPr>
            <w:tcW w:w="2753" w:type="dxa"/>
            <w:vAlign w:val="center"/>
            <w:hideMark/>
          </w:tcPr>
          <w:p w14:paraId="119B2E1F" w14:textId="0EF166B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DE LA JUVENTUD DEL ESTADO DE OAXACA</w:t>
            </w:r>
          </w:p>
        </w:tc>
        <w:tc>
          <w:tcPr>
            <w:tcW w:w="1701" w:type="dxa"/>
            <w:vAlign w:val="center"/>
            <w:hideMark/>
          </w:tcPr>
          <w:p w14:paraId="09452585" w14:textId="6775A52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1,207,755.23</w:t>
            </w:r>
          </w:p>
        </w:tc>
        <w:tc>
          <w:tcPr>
            <w:tcW w:w="1985" w:type="dxa"/>
            <w:vAlign w:val="center"/>
            <w:hideMark/>
          </w:tcPr>
          <w:p w14:paraId="3CBD1304" w14:textId="739F74B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1,207,755.23</w:t>
            </w:r>
          </w:p>
        </w:tc>
        <w:tc>
          <w:tcPr>
            <w:tcW w:w="1843" w:type="dxa"/>
            <w:vAlign w:val="center"/>
            <w:hideMark/>
          </w:tcPr>
          <w:p w14:paraId="3C8F6708" w14:textId="064CB46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0F788F7D" w14:textId="77777777" w:rsidTr="004B3002">
        <w:trPr>
          <w:trHeight w:val="315"/>
        </w:trPr>
        <w:tc>
          <w:tcPr>
            <w:tcW w:w="644" w:type="dxa"/>
            <w:vAlign w:val="center"/>
            <w:hideMark/>
          </w:tcPr>
          <w:p w14:paraId="47C3222C" w14:textId="76C361C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528</w:t>
            </w:r>
          </w:p>
        </w:tc>
        <w:tc>
          <w:tcPr>
            <w:tcW w:w="2753" w:type="dxa"/>
            <w:vAlign w:val="center"/>
            <w:hideMark/>
          </w:tcPr>
          <w:p w14:paraId="2402D98A" w14:textId="1989450F"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DEL PATRIMONIO CULTURAL DEL ESTADO DE OAXACA</w:t>
            </w:r>
          </w:p>
        </w:tc>
        <w:tc>
          <w:tcPr>
            <w:tcW w:w="1701" w:type="dxa"/>
            <w:vAlign w:val="center"/>
            <w:hideMark/>
          </w:tcPr>
          <w:p w14:paraId="1C6037A9" w14:textId="0BB1D9B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856,784,175.07</w:t>
            </w:r>
          </w:p>
        </w:tc>
        <w:tc>
          <w:tcPr>
            <w:tcW w:w="1985" w:type="dxa"/>
            <w:vAlign w:val="center"/>
            <w:hideMark/>
          </w:tcPr>
          <w:p w14:paraId="32440E89" w14:textId="2B2C375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861,733,175.07</w:t>
            </w:r>
          </w:p>
        </w:tc>
        <w:tc>
          <w:tcPr>
            <w:tcW w:w="1843" w:type="dxa"/>
            <w:vAlign w:val="center"/>
            <w:hideMark/>
          </w:tcPr>
          <w:p w14:paraId="77EE63D3" w14:textId="43EFDF7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4,949,000.00</w:t>
            </w:r>
          </w:p>
        </w:tc>
      </w:tr>
      <w:tr w:rsidR="00403C91" w:rsidRPr="00C953B4" w14:paraId="2851BD35" w14:textId="77777777" w:rsidTr="004B3002">
        <w:trPr>
          <w:trHeight w:val="315"/>
        </w:trPr>
        <w:tc>
          <w:tcPr>
            <w:tcW w:w="644" w:type="dxa"/>
            <w:vAlign w:val="center"/>
            <w:hideMark/>
          </w:tcPr>
          <w:p w14:paraId="1F256F60" w14:textId="4A5D737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530</w:t>
            </w:r>
          </w:p>
        </w:tc>
        <w:tc>
          <w:tcPr>
            <w:tcW w:w="2753" w:type="dxa"/>
            <w:vAlign w:val="center"/>
            <w:hideMark/>
          </w:tcPr>
          <w:p w14:paraId="7A2E7BDB" w14:textId="3D87773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ESTATAL DE EDUCACIÓN PARA ADULTOS</w:t>
            </w:r>
          </w:p>
        </w:tc>
        <w:tc>
          <w:tcPr>
            <w:tcW w:w="1701" w:type="dxa"/>
            <w:vAlign w:val="center"/>
            <w:hideMark/>
          </w:tcPr>
          <w:p w14:paraId="6452736C" w14:textId="036A43CD"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-6,432,706.84</w:t>
            </w:r>
          </w:p>
        </w:tc>
        <w:tc>
          <w:tcPr>
            <w:tcW w:w="1985" w:type="dxa"/>
            <w:vAlign w:val="center"/>
            <w:hideMark/>
          </w:tcPr>
          <w:p w14:paraId="4A22E19B" w14:textId="09D8C04D"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785,440.99</w:t>
            </w:r>
          </w:p>
        </w:tc>
        <w:tc>
          <w:tcPr>
            <w:tcW w:w="1843" w:type="dxa"/>
            <w:vAlign w:val="center"/>
            <w:hideMark/>
          </w:tcPr>
          <w:p w14:paraId="3735DC50" w14:textId="0A81D22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7,218,147.83</w:t>
            </w:r>
          </w:p>
        </w:tc>
      </w:tr>
      <w:tr w:rsidR="00403C91" w:rsidRPr="00C953B4" w14:paraId="56079503" w14:textId="77777777" w:rsidTr="004B3002">
        <w:trPr>
          <w:trHeight w:val="315"/>
        </w:trPr>
        <w:tc>
          <w:tcPr>
            <w:tcW w:w="644" w:type="dxa"/>
            <w:vAlign w:val="center"/>
            <w:hideMark/>
          </w:tcPr>
          <w:p w14:paraId="62D4736B" w14:textId="54DAFB74"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531</w:t>
            </w:r>
          </w:p>
        </w:tc>
        <w:tc>
          <w:tcPr>
            <w:tcW w:w="2753" w:type="dxa"/>
            <w:vAlign w:val="center"/>
            <w:hideMark/>
          </w:tcPr>
          <w:p w14:paraId="0B5CAF8F" w14:textId="03C61E7F"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ESTATAL DE EDUCACIÓN PÚBLICA DE OAXACA</w:t>
            </w:r>
          </w:p>
        </w:tc>
        <w:tc>
          <w:tcPr>
            <w:tcW w:w="1701" w:type="dxa"/>
            <w:vAlign w:val="center"/>
            <w:hideMark/>
          </w:tcPr>
          <w:p w14:paraId="7DC7B2B3" w14:textId="4699E74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5,252,450,820.62</w:t>
            </w:r>
          </w:p>
        </w:tc>
        <w:tc>
          <w:tcPr>
            <w:tcW w:w="1985" w:type="dxa"/>
            <w:vAlign w:val="center"/>
            <w:hideMark/>
          </w:tcPr>
          <w:p w14:paraId="711F6E3E" w14:textId="710B701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5,253,485,723.39</w:t>
            </w:r>
          </w:p>
        </w:tc>
        <w:tc>
          <w:tcPr>
            <w:tcW w:w="1843" w:type="dxa"/>
            <w:vAlign w:val="center"/>
            <w:hideMark/>
          </w:tcPr>
          <w:p w14:paraId="5DD52C0B" w14:textId="1F9F542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1,034,902.77</w:t>
            </w:r>
          </w:p>
        </w:tc>
      </w:tr>
      <w:tr w:rsidR="00403C91" w:rsidRPr="00C953B4" w14:paraId="13E2843F" w14:textId="77777777" w:rsidTr="004B3002">
        <w:trPr>
          <w:trHeight w:val="465"/>
        </w:trPr>
        <w:tc>
          <w:tcPr>
            <w:tcW w:w="644" w:type="dxa"/>
            <w:vAlign w:val="center"/>
            <w:hideMark/>
          </w:tcPr>
          <w:p w14:paraId="7BEC66F5" w14:textId="56CB6EA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532</w:t>
            </w:r>
          </w:p>
        </w:tc>
        <w:tc>
          <w:tcPr>
            <w:tcW w:w="2753" w:type="dxa"/>
            <w:vAlign w:val="center"/>
            <w:hideMark/>
          </w:tcPr>
          <w:p w14:paraId="3736C129" w14:textId="6319AD0C"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OAXAQUEÑO CONSTRUCTOR DE INFRAESTRUCTURA EDUCATIVA</w:t>
            </w:r>
          </w:p>
        </w:tc>
        <w:tc>
          <w:tcPr>
            <w:tcW w:w="1701" w:type="dxa"/>
            <w:vAlign w:val="center"/>
            <w:hideMark/>
          </w:tcPr>
          <w:p w14:paraId="4A9D1AFC" w14:textId="763C930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888,676,892.65</w:t>
            </w:r>
          </w:p>
        </w:tc>
        <w:tc>
          <w:tcPr>
            <w:tcW w:w="1985" w:type="dxa"/>
            <w:vAlign w:val="center"/>
            <w:hideMark/>
          </w:tcPr>
          <w:p w14:paraId="08210E44" w14:textId="58DBDB5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765,433,053.98</w:t>
            </w:r>
          </w:p>
        </w:tc>
        <w:tc>
          <w:tcPr>
            <w:tcW w:w="1843" w:type="dxa"/>
            <w:vAlign w:val="center"/>
            <w:hideMark/>
          </w:tcPr>
          <w:p w14:paraId="772CFC93" w14:textId="601EFEB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-123,243,838.67</w:t>
            </w:r>
          </w:p>
        </w:tc>
      </w:tr>
      <w:tr w:rsidR="00403C91" w:rsidRPr="00C953B4" w14:paraId="702FA8EF" w14:textId="77777777" w:rsidTr="004B3002">
        <w:trPr>
          <w:trHeight w:val="465"/>
        </w:trPr>
        <w:tc>
          <w:tcPr>
            <w:tcW w:w="644" w:type="dxa"/>
            <w:vAlign w:val="center"/>
            <w:hideMark/>
          </w:tcPr>
          <w:p w14:paraId="73F82DA4" w14:textId="4C22B82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533</w:t>
            </w:r>
          </w:p>
        </w:tc>
        <w:tc>
          <w:tcPr>
            <w:tcW w:w="2753" w:type="dxa"/>
            <w:vAlign w:val="center"/>
            <w:hideMark/>
          </w:tcPr>
          <w:p w14:paraId="12FBD4BB" w14:textId="1190C5E8"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DE ATENCIÓN INTEGRAL AL MIGRANTE OAXAQUEÑO (EXTINTO DECRETO NUM. 1719)</w:t>
            </w:r>
          </w:p>
        </w:tc>
        <w:tc>
          <w:tcPr>
            <w:tcW w:w="1701" w:type="dxa"/>
            <w:vAlign w:val="center"/>
            <w:hideMark/>
          </w:tcPr>
          <w:p w14:paraId="621CCFFD" w14:textId="2D5ED57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1,236,983.29</w:t>
            </w:r>
          </w:p>
        </w:tc>
        <w:tc>
          <w:tcPr>
            <w:tcW w:w="1985" w:type="dxa"/>
            <w:vAlign w:val="center"/>
            <w:hideMark/>
          </w:tcPr>
          <w:p w14:paraId="066416BF" w14:textId="0993288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c>
          <w:tcPr>
            <w:tcW w:w="1843" w:type="dxa"/>
            <w:vAlign w:val="center"/>
            <w:hideMark/>
          </w:tcPr>
          <w:p w14:paraId="48C95E33" w14:textId="662557B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-1,236,983.29</w:t>
            </w:r>
          </w:p>
        </w:tc>
      </w:tr>
      <w:tr w:rsidR="00403C91" w:rsidRPr="00C953B4" w14:paraId="00BB667F" w14:textId="77777777" w:rsidTr="004B3002">
        <w:trPr>
          <w:trHeight w:val="465"/>
        </w:trPr>
        <w:tc>
          <w:tcPr>
            <w:tcW w:w="644" w:type="dxa"/>
            <w:vAlign w:val="center"/>
            <w:hideMark/>
          </w:tcPr>
          <w:p w14:paraId="6F70D3EE" w14:textId="5171A6A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534</w:t>
            </w:r>
          </w:p>
        </w:tc>
        <w:tc>
          <w:tcPr>
            <w:tcW w:w="2753" w:type="dxa"/>
            <w:vAlign w:val="center"/>
            <w:hideMark/>
          </w:tcPr>
          <w:p w14:paraId="567F3C15" w14:textId="63EAA304"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PARA EL FOMENTO Y LA PROTECCIÓN DE LAS ARTESANÍAS (EXTINTO DECRETO NUM. 1719)</w:t>
            </w:r>
          </w:p>
        </w:tc>
        <w:tc>
          <w:tcPr>
            <w:tcW w:w="1701" w:type="dxa"/>
            <w:vAlign w:val="center"/>
            <w:hideMark/>
          </w:tcPr>
          <w:p w14:paraId="6A30DDC0" w14:textId="3D9A177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1,383,966.71</w:t>
            </w:r>
          </w:p>
        </w:tc>
        <w:tc>
          <w:tcPr>
            <w:tcW w:w="1985" w:type="dxa"/>
            <w:vAlign w:val="center"/>
            <w:hideMark/>
          </w:tcPr>
          <w:p w14:paraId="6FB7ECB5" w14:textId="7CD3411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c>
          <w:tcPr>
            <w:tcW w:w="1843" w:type="dxa"/>
            <w:vAlign w:val="center"/>
            <w:hideMark/>
          </w:tcPr>
          <w:p w14:paraId="7E00D369" w14:textId="582ABAF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-1,383,966.71</w:t>
            </w:r>
          </w:p>
        </w:tc>
      </w:tr>
      <w:tr w:rsidR="00403C91" w:rsidRPr="00C953B4" w14:paraId="3C237C85" w14:textId="77777777" w:rsidTr="004B3002">
        <w:trPr>
          <w:trHeight w:val="315"/>
        </w:trPr>
        <w:tc>
          <w:tcPr>
            <w:tcW w:w="644" w:type="dxa"/>
            <w:vAlign w:val="center"/>
            <w:hideMark/>
          </w:tcPr>
          <w:p w14:paraId="3057D9A6" w14:textId="79AD9E4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535</w:t>
            </w:r>
          </w:p>
        </w:tc>
        <w:tc>
          <w:tcPr>
            <w:tcW w:w="2753" w:type="dxa"/>
            <w:vAlign w:val="center"/>
            <w:hideMark/>
          </w:tcPr>
          <w:p w14:paraId="35458209" w14:textId="336D5DB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 xml:space="preserve">INSTITUTO TECNOLÓGICO </w:t>
            </w:r>
            <w:r w:rsidRPr="00C953B4">
              <w:rPr>
                <w:rFonts w:ascii="Montserrat" w:hAnsi="Montserrat" w:cs="Calibri"/>
                <w:color w:val="000000"/>
                <w:sz w:val="20"/>
                <w:szCs w:val="20"/>
              </w:rPr>
              <w:lastRenderedPageBreak/>
              <w:t>SUPERIOR DE SAN MIGUEL EL GRANDE</w:t>
            </w:r>
          </w:p>
        </w:tc>
        <w:tc>
          <w:tcPr>
            <w:tcW w:w="1701" w:type="dxa"/>
            <w:vAlign w:val="center"/>
            <w:hideMark/>
          </w:tcPr>
          <w:p w14:paraId="469A523F" w14:textId="5593D44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lastRenderedPageBreak/>
              <w:t>13,949,120.01</w:t>
            </w:r>
          </w:p>
        </w:tc>
        <w:tc>
          <w:tcPr>
            <w:tcW w:w="1985" w:type="dxa"/>
            <w:vAlign w:val="center"/>
            <w:hideMark/>
          </w:tcPr>
          <w:p w14:paraId="29521B35" w14:textId="1959B72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13,503,605.70</w:t>
            </w:r>
          </w:p>
        </w:tc>
        <w:tc>
          <w:tcPr>
            <w:tcW w:w="1843" w:type="dxa"/>
            <w:vAlign w:val="center"/>
            <w:hideMark/>
          </w:tcPr>
          <w:p w14:paraId="4DEA9A04" w14:textId="5BF631C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-445,514.31</w:t>
            </w:r>
          </w:p>
        </w:tc>
      </w:tr>
      <w:tr w:rsidR="00403C91" w:rsidRPr="00C953B4" w14:paraId="3CAC8C74" w14:textId="77777777" w:rsidTr="004B3002">
        <w:trPr>
          <w:trHeight w:val="315"/>
        </w:trPr>
        <w:tc>
          <w:tcPr>
            <w:tcW w:w="644" w:type="dxa"/>
            <w:tcBorders>
              <w:bottom w:val="single" w:sz="4" w:space="0" w:color="auto"/>
            </w:tcBorders>
            <w:vAlign w:val="center"/>
            <w:hideMark/>
          </w:tcPr>
          <w:p w14:paraId="386CD7D4" w14:textId="71C2AEE7"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536</w:t>
            </w:r>
          </w:p>
        </w:tc>
        <w:tc>
          <w:tcPr>
            <w:tcW w:w="2753" w:type="dxa"/>
            <w:tcBorders>
              <w:bottom w:val="single" w:sz="4" w:space="0" w:color="auto"/>
            </w:tcBorders>
            <w:vAlign w:val="center"/>
            <w:hideMark/>
          </w:tcPr>
          <w:p w14:paraId="42A0ADDE" w14:textId="69FA684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TECNOLÓGICO SUPERIOR DE TEPOSCOLULA</w:t>
            </w:r>
          </w:p>
        </w:tc>
        <w:tc>
          <w:tcPr>
            <w:tcW w:w="1701" w:type="dxa"/>
            <w:tcBorders>
              <w:bottom w:val="single" w:sz="4" w:space="0" w:color="auto"/>
            </w:tcBorders>
            <w:vAlign w:val="center"/>
            <w:hideMark/>
          </w:tcPr>
          <w:p w14:paraId="293AECED" w14:textId="796E535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2,355,160.64</w:t>
            </w:r>
          </w:p>
        </w:tc>
        <w:tc>
          <w:tcPr>
            <w:tcW w:w="1985" w:type="dxa"/>
            <w:tcBorders>
              <w:bottom w:val="single" w:sz="4" w:space="0" w:color="auto"/>
            </w:tcBorders>
            <w:vAlign w:val="center"/>
            <w:hideMark/>
          </w:tcPr>
          <w:p w14:paraId="549FFA51" w14:textId="66E02E5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2,355,060.64</w:t>
            </w:r>
          </w:p>
        </w:tc>
        <w:tc>
          <w:tcPr>
            <w:tcW w:w="1843" w:type="dxa"/>
            <w:tcBorders>
              <w:bottom w:val="single" w:sz="4" w:space="0" w:color="auto"/>
            </w:tcBorders>
            <w:vAlign w:val="center"/>
            <w:hideMark/>
          </w:tcPr>
          <w:p w14:paraId="1852D470" w14:textId="661491D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-100.00</w:t>
            </w:r>
          </w:p>
        </w:tc>
      </w:tr>
      <w:tr w:rsidR="00403C91" w:rsidRPr="00C953B4" w14:paraId="27EAD125" w14:textId="77777777" w:rsidTr="004B3002">
        <w:trPr>
          <w:trHeight w:val="315"/>
        </w:trPr>
        <w:tc>
          <w:tcPr>
            <w:tcW w:w="644" w:type="dxa"/>
            <w:tcBorders>
              <w:bottom w:val="single" w:sz="4" w:space="0" w:color="auto"/>
            </w:tcBorders>
            <w:vAlign w:val="center"/>
            <w:hideMark/>
          </w:tcPr>
          <w:p w14:paraId="429507B8" w14:textId="5A6A0AD8"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538</w:t>
            </w:r>
          </w:p>
        </w:tc>
        <w:tc>
          <w:tcPr>
            <w:tcW w:w="2753" w:type="dxa"/>
            <w:tcBorders>
              <w:bottom w:val="single" w:sz="4" w:space="0" w:color="auto"/>
            </w:tcBorders>
            <w:vAlign w:val="center"/>
            <w:hideMark/>
          </w:tcPr>
          <w:p w14:paraId="6A5605EB" w14:textId="6FAA6126"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NOVAUNIVERSITAS</w:t>
            </w:r>
          </w:p>
        </w:tc>
        <w:tc>
          <w:tcPr>
            <w:tcW w:w="1701" w:type="dxa"/>
            <w:tcBorders>
              <w:bottom w:val="single" w:sz="4" w:space="0" w:color="auto"/>
            </w:tcBorders>
            <w:vAlign w:val="center"/>
            <w:hideMark/>
          </w:tcPr>
          <w:p w14:paraId="012DEDAE" w14:textId="0CE34EB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123,181,481.98</w:t>
            </w:r>
          </w:p>
        </w:tc>
        <w:tc>
          <w:tcPr>
            <w:tcW w:w="1985" w:type="dxa"/>
            <w:tcBorders>
              <w:bottom w:val="single" w:sz="4" w:space="0" w:color="auto"/>
            </w:tcBorders>
            <w:vAlign w:val="center"/>
            <w:hideMark/>
          </w:tcPr>
          <w:p w14:paraId="5A03CF80" w14:textId="64A7EAC4"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123,879,097.05</w:t>
            </w:r>
          </w:p>
        </w:tc>
        <w:tc>
          <w:tcPr>
            <w:tcW w:w="1843" w:type="dxa"/>
            <w:tcBorders>
              <w:bottom w:val="single" w:sz="4" w:space="0" w:color="auto"/>
            </w:tcBorders>
            <w:vAlign w:val="center"/>
            <w:hideMark/>
          </w:tcPr>
          <w:p w14:paraId="5F3C508B" w14:textId="56E37F1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697,615.07</w:t>
            </w:r>
          </w:p>
        </w:tc>
      </w:tr>
      <w:tr w:rsidR="00403C91" w:rsidRPr="00C953B4" w14:paraId="74BA3264" w14:textId="77777777" w:rsidTr="004B3002">
        <w:trPr>
          <w:trHeight w:val="315"/>
        </w:trPr>
        <w:tc>
          <w:tcPr>
            <w:tcW w:w="644" w:type="dxa"/>
            <w:tcBorders>
              <w:top w:val="single" w:sz="4" w:space="0" w:color="auto"/>
              <w:left w:val="single" w:sz="4" w:space="0" w:color="auto"/>
              <w:bottom w:val="single" w:sz="4" w:space="0" w:color="auto"/>
              <w:right w:val="single" w:sz="4" w:space="0" w:color="auto"/>
            </w:tcBorders>
            <w:vAlign w:val="center"/>
          </w:tcPr>
          <w:p w14:paraId="5C973ADD" w14:textId="708F9A0D" w:rsidR="00403C91" w:rsidRPr="00C953B4" w:rsidRDefault="00403C91" w:rsidP="00403C91">
            <w:pPr>
              <w:tabs>
                <w:tab w:val="left" w:pos="7260"/>
              </w:tabs>
              <w:rPr>
                <w:rFonts w:ascii="Montserrat" w:hAnsi="Montserrat"/>
                <w:sz w:val="20"/>
                <w:szCs w:val="20"/>
              </w:rPr>
            </w:pPr>
            <w:r w:rsidRPr="00C953B4">
              <w:rPr>
                <w:rFonts w:ascii="Montserrat" w:hAnsi="Montserrat" w:cs="Calibri"/>
                <w:color w:val="000000"/>
                <w:sz w:val="20"/>
                <w:szCs w:val="20"/>
              </w:rPr>
              <w:t>539</w:t>
            </w:r>
          </w:p>
        </w:tc>
        <w:tc>
          <w:tcPr>
            <w:tcW w:w="2753" w:type="dxa"/>
            <w:tcBorders>
              <w:top w:val="single" w:sz="4" w:space="0" w:color="auto"/>
              <w:left w:val="single" w:sz="4" w:space="0" w:color="auto"/>
              <w:bottom w:val="single" w:sz="4" w:space="0" w:color="auto"/>
              <w:right w:val="single" w:sz="4" w:space="0" w:color="auto"/>
            </w:tcBorders>
            <w:vAlign w:val="center"/>
          </w:tcPr>
          <w:p w14:paraId="30BA0568" w14:textId="5015D8DC" w:rsidR="00403C91" w:rsidRPr="00C953B4" w:rsidRDefault="00403C91" w:rsidP="00403C91">
            <w:pPr>
              <w:tabs>
                <w:tab w:val="left" w:pos="7260"/>
              </w:tabs>
              <w:rPr>
                <w:rFonts w:ascii="Montserrat" w:hAnsi="Montserrat"/>
                <w:sz w:val="20"/>
                <w:szCs w:val="20"/>
              </w:rPr>
            </w:pPr>
            <w:r w:rsidRPr="00C953B4">
              <w:rPr>
                <w:rFonts w:ascii="Montserrat" w:hAnsi="Montserrat" w:cs="Calibri"/>
                <w:color w:val="000000"/>
                <w:sz w:val="20"/>
                <w:szCs w:val="20"/>
              </w:rPr>
              <w:t>SISTEMA OPERADOR DE LOS SERVICIOS DE AGUA POTABLE Y ALCANTARILLADO</w:t>
            </w:r>
          </w:p>
        </w:tc>
        <w:tc>
          <w:tcPr>
            <w:tcW w:w="1701" w:type="dxa"/>
            <w:tcBorders>
              <w:top w:val="single" w:sz="4" w:space="0" w:color="auto"/>
              <w:left w:val="single" w:sz="4" w:space="0" w:color="auto"/>
              <w:bottom w:val="single" w:sz="4" w:space="0" w:color="auto"/>
              <w:right w:val="single" w:sz="4" w:space="0" w:color="auto"/>
            </w:tcBorders>
            <w:vAlign w:val="center"/>
          </w:tcPr>
          <w:p w14:paraId="6B6E2771" w14:textId="712D5EBD"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707,291,778.74</w:t>
            </w:r>
          </w:p>
        </w:tc>
        <w:tc>
          <w:tcPr>
            <w:tcW w:w="1985" w:type="dxa"/>
            <w:tcBorders>
              <w:top w:val="single" w:sz="4" w:space="0" w:color="auto"/>
              <w:left w:val="single" w:sz="4" w:space="0" w:color="auto"/>
              <w:bottom w:val="single" w:sz="4" w:space="0" w:color="auto"/>
              <w:right w:val="single" w:sz="4" w:space="0" w:color="auto"/>
            </w:tcBorders>
            <w:vAlign w:val="center"/>
          </w:tcPr>
          <w:p w14:paraId="7BEC10E2" w14:textId="74986B4C"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707,012,562.56</w:t>
            </w:r>
          </w:p>
        </w:tc>
        <w:tc>
          <w:tcPr>
            <w:tcW w:w="1843" w:type="dxa"/>
            <w:tcBorders>
              <w:top w:val="single" w:sz="4" w:space="0" w:color="auto"/>
              <w:left w:val="single" w:sz="4" w:space="0" w:color="auto"/>
              <w:bottom w:val="single" w:sz="4" w:space="0" w:color="auto"/>
              <w:right w:val="single" w:sz="4" w:space="0" w:color="auto"/>
            </w:tcBorders>
            <w:vAlign w:val="center"/>
          </w:tcPr>
          <w:p w14:paraId="2A50B19A" w14:textId="16593F85"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-279,216.18</w:t>
            </w:r>
          </w:p>
        </w:tc>
      </w:tr>
      <w:tr w:rsidR="00403C91" w:rsidRPr="00C953B4" w14:paraId="646BE569" w14:textId="77777777" w:rsidTr="004B3002">
        <w:trPr>
          <w:trHeight w:val="465"/>
        </w:trPr>
        <w:tc>
          <w:tcPr>
            <w:tcW w:w="644" w:type="dxa"/>
            <w:tcBorders>
              <w:top w:val="single" w:sz="4" w:space="0" w:color="auto"/>
            </w:tcBorders>
            <w:vAlign w:val="center"/>
            <w:hideMark/>
          </w:tcPr>
          <w:p w14:paraId="76663A73" w14:textId="3D563ED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540</w:t>
            </w:r>
          </w:p>
        </w:tc>
        <w:tc>
          <w:tcPr>
            <w:tcW w:w="2753" w:type="dxa"/>
            <w:tcBorders>
              <w:top w:val="single" w:sz="4" w:space="0" w:color="auto"/>
            </w:tcBorders>
            <w:vAlign w:val="center"/>
            <w:hideMark/>
          </w:tcPr>
          <w:p w14:paraId="4ADD4EF4" w14:textId="6AC29637"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SERVICIOS DE SALUD DE OAXACA</w:t>
            </w:r>
          </w:p>
        </w:tc>
        <w:tc>
          <w:tcPr>
            <w:tcW w:w="1701" w:type="dxa"/>
            <w:tcBorders>
              <w:top w:val="single" w:sz="4" w:space="0" w:color="auto"/>
            </w:tcBorders>
            <w:vAlign w:val="center"/>
            <w:hideMark/>
          </w:tcPr>
          <w:p w14:paraId="272AC62D" w14:textId="7E516B12"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7,292,562,237.19</w:t>
            </w:r>
          </w:p>
        </w:tc>
        <w:tc>
          <w:tcPr>
            <w:tcW w:w="1985" w:type="dxa"/>
            <w:tcBorders>
              <w:top w:val="single" w:sz="4" w:space="0" w:color="auto"/>
            </w:tcBorders>
            <w:vAlign w:val="center"/>
            <w:hideMark/>
          </w:tcPr>
          <w:p w14:paraId="2F017687" w14:textId="62C1FCF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7,249,522,542.76</w:t>
            </w:r>
          </w:p>
        </w:tc>
        <w:tc>
          <w:tcPr>
            <w:tcW w:w="1843" w:type="dxa"/>
            <w:tcBorders>
              <w:top w:val="single" w:sz="4" w:space="0" w:color="auto"/>
            </w:tcBorders>
            <w:vAlign w:val="center"/>
            <w:hideMark/>
          </w:tcPr>
          <w:p w14:paraId="662CEC23" w14:textId="0899661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-43,039,694.43</w:t>
            </w:r>
          </w:p>
        </w:tc>
      </w:tr>
      <w:tr w:rsidR="00403C91" w:rsidRPr="00C953B4" w14:paraId="5A110CF0" w14:textId="77777777" w:rsidTr="004B3002">
        <w:trPr>
          <w:trHeight w:val="315"/>
        </w:trPr>
        <w:tc>
          <w:tcPr>
            <w:tcW w:w="644" w:type="dxa"/>
            <w:vAlign w:val="center"/>
            <w:hideMark/>
          </w:tcPr>
          <w:p w14:paraId="1A4CE029" w14:textId="77D5CD0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541</w:t>
            </w:r>
          </w:p>
        </w:tc>
        <w:tc>
          <w:tcPr>
            <w:tcW w:w="2753" w:type="dxa"/>
            <w:vAlign w:val="center"/>
            <w:hideMark/>
          </w:tcPr>
          <w:p w14:paraId="124057C5" w14:textId="4E835F2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SISTEMA PARA EL DESARROLLO INTEGRAL DE LA FAMILIA DEL ESTADO DE OAXACA</w:t>
            </w:r>
          </w:p>
        </w:tc>
        <w:tc>
          <w:tcPr>
            <w:tcW w:w="1701" w:type="dxa"/>
            <w:vAlign w:val="center"/>
            <w:hideMark/>
          </w:tcPr>
          <w:p w14:paraId="4973CFFF" w14:textId="5120FB5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438,261,655.89</w:t>
            </w:r>
          </w:p>
        </w:tc>
        <w:tc>
          <w:tcPr>
            <w:tcW w:w="1985" w:type="dxa"/>
            <w:vAlign w:val="center"/>
            <w:hideMark/>
          </w:tcPr>
          <w:p w14:paraId="7AFF42A6" w14:textId="0535DC6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386,019,904.25</w:t>
            </w:r>
          </w:p>
        </w:tc>
        <w:tc>
          <w:tcPr>
            <w:tcW w:w="1843" w:type="dxa"/>
            <w:vAlign w:val="center"/>
            <w:hideMark/>
          </w:tcPr>
          <w:p w14:paraId="2DACD26B" w14:textId="2616F49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-52,241,751.64</w:t>
            </w:r>
          </w:p>
        </w:tc>
      </w:tr>
      <w:tr w:rsidR="00403C91" w:rsidRPr="00C953B4" w14:paraId="55C1907C" w14:textId="77777777" w:rsidTr="004B3002">
        <w:trPr>
          <w:trHeight w:val="465"/>
        </w:trPr>
        <w:tc>
          <w:tcPr>
            <w:tcW w:w="644" w:type="dxa"/>
            <w:vAlign w:val="center"/>
            <w:hideMark/>
          </w:tcPr>
          <w:p w14:paraId="5B2A4A9F" w14:textId="11A398E1"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542</w:t>
            </w:r>
          </w:p>
        </w:tc>
        <w:tc>
          <w:tcPr>
            <w:tcW w:w="2753" w:type="dxa"/>
            <w:vAlign w:val="center"/>
            <w:hideMark/>
          </w:tcPr>
          <w:p w14:paraId="007DA423" w14:textId="67338A0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DE CHALCATONGO</w:t>
            </w:r>
          </w:p>
        </w:tc>
        <w:tc>
          <w:tcPr>
            <w:tcW w:w="1701" w:type="dxa"/>
            <w:vAlign w:val="center"/>
            <w:hideMark/>
          </w:tcPr>
          <w:p w14:paraId="6F0E752E" w14:textId="77243E6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131,520,501.55</w:t>
            </w:r>
          </w:p>
        </w:tc>
        <w:tc>
          <w:tcPr>
            <w:tcW w:w="1985" w:type="dxa"/>
            <w:vAlign w:val="center"/>
            <w:hideMark/>
          </w:tcPr>
          <w:p w14:paraId="18B254D5" w14:textId="368AA76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131,613,076.61</w:t>
            </w:r>
          </w:p>
        </w:tc>
        <w:tc>
          <w:tcPr>
            <w:tcW w:w="1843" w:type="dxa"/>
            <w:vAlign w:val="center"/>
            <w:hideMark/>
          </w:tcPr>
          <w:p w14:paraId="0C6D3CC9" w14:textId="192663C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92,575.06</w:t>
            </w:r>
          </w:p>
        </w:tc>
      </w:tr>
      <w:tr w:rsidR="00403C91" w:rsidRPr="00C953B4" w14:paraId="06F3B5EA" w14:textId="77777777" w:rsidTr="004B3002">
        <w:trPr>
          <w:trHeight w:val="315"/>
        </w:trPr>
        <w:tc>
          <w:tcPr>
            <w:tcW w:w="644" w:type="dxa"/>
            <w:vAlign w:val="center"/>
            <w:hideMark/>
          </w:tcPr>
          <w:p w14:paraId="7DD0B7FD" w14:textId="6EBDCFE8"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543</w:t>
            </w:r>
          </w:p>
        </w:tc>
        <w:tc>
          <w:tcPr>
            <w:tcW w:w="2753" w:type="dxa"/>
            <w:vAlign w:val="center"/>
            <w:hideMark/>
          </w:tcPr>
          <w:p w14:paraId="4B2F6809" w14:textId="13E895C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DE LA CAÑADA</w:t>
            </w:r>
          </w:p>
        </w:tc>
        <w:tc>
          <w:tcPr>
            <w:tcW w:w="1701" w:type="dxa"/>
            <w:vAlign w:val="center"/>
            <w:hideMark/>
          </w:tcPr>
          <w:p w14:paraId="74B6F64F" w14:textId="5980806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127,911,829.18</w:t>
            </w:r>
          </w:p>
        </w:tc>
        <w:tc>
          <w:tcPr>
            <w:tcW w:w="1985" w:type="dxa"/>
            <w:vAlign w:val="center"/>
            <w:hideMark/>
          </w:tcPr>
          <w:p w14:paraId="2A143B1F" w14:textId="4D5DE63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128,506,062.90</w:t>
            </w:r>
          </w:p>
        </w:tc>
        <w:tc>
          <w:tcPr>
            <w:tcW w:w="1843" w:type="dxa"/>
            <w:vAlign w:val="center"/>
            <w:hideMark/>
          </w:tcPr>
          <w:p w14:paraId="652CE901" w14:textId="3EDE39ED"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594,233.72</w:t>
            </w:r>
          </w:p>
        </w:tc>
      </w:tr>
      <w:tr w:rsidR="00403C91" w:rsidRPr="00C953B4" w14:paraId="4CA798FB" w14:textId="77777777" w:rsidTr="004B3002">
        <w:trPr>
          <w:trHeight w:val="315"/>
        </w:trPr>
        <w:tc>
          <w:tcPr>
            <w:tcW w:w="644" w:type="dxa"/>
            <w:vAlign w:val="center"/>
            <w:hideMark/>
          </w:tcPr>
          <w:p w14:paraId="4E9690B9" w14:textId="1DDE0A54"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544</w:t>
            </w:r>
          </w:p>
        </w:tc>
        <w:tc>
          <w:tcPr>
            <w:tcW w:w="2753" w:type="dxa"/>
            <w:vAlign w:val="center"/>
            <w:hideMark/>
          </w:tcPr>
          <w:p w14:paraId="013AE453" w14:textId="0A5AC7AC"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DE LA COSTA</w:t>
            </w:r>
          </w:p>
        </w:tc>
        <w:tc>
          <w:tcPr>
            <w:tcW w:w="1701" w:type="dxa"/>
            <w:vAlign w:val="center"/>
            <w:hideMark/>
          </w:tcPr>
          <w:p w14:paraId="4B55F2D5" w14:textId="509FFD04"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105,988,764.10</w:t>
            </w:r>
          </w:p>
        </w:tc>
        <w:tc>
          <w:tcPr>
            <w:tcW w:w="1985" w:type="dxa"/>
            <w:vAlign w:val="center"/>
            <w:hideMark/>
          </w:tcPr>
          <w:p w14:paraId="3B51B570" w14:textId="1EC9600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105,988,764.10</w:t>
            </w:r>
          </w:p>
        </w:tc>
        <w:tc>
          <w:tcPr>
            <w:tcW w:w="1843" w:type="dxa"/>
            <w:vAlign w:val="center"/>
            <w:hideMark/>
          </w:tcPr>
          <w:p w14:paraId="48AA69BF" w14:textId="69BDCB3D"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1D36111A" w14:textId="77777777" w:rsidTr="004B3002">
        <w:trPr>
          <w:trHeight w:val="315"/>
        </w:trPr>
        <w:tc>
          <w:tcPr>
            <w:tcW w:w="644" w:type="dxa"/>
            <w:vAlign w:val="center"/>
            <w:hideMark/>
          </w:tcPr>
          <w:p w14:paraId="54A4B1CB" w14:textId="52BAD6FA"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545</w:t>
            </w:r>
          </w:p>
        </w:tc>
        <w:tc>
          <w:tcPr>
            <w:tcW w:w="2753" w:type="dxa"/>
            <w:vAlign w:val="center"/>
            <w:hideMark/>
          </w:tcPr>
          <w:p w14:paraId="4D45A611" w14:textId="04F16491"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DE LA SIERRA JUÁREZ</w:t>
            </w:r>
          </w:p>
        </w:tc>
        <w:tc>
          <w:tcPr>
            <w:tcW w:w="1701" w:type="dxa"/>
            <w:vAlign w:val="center"/>
            <w:hideMark/>
          </w:tcPr>
          <w:p w14:paraId="0400B48B" w14:textId="48F9102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103,553,405.72</w:t>
            </w:r>
          </w:p>
        </w:tc>
        <w:tc>
          <w:tcPr>
            <w:tcW w:w="1985" w:type="dxa"/>
            <w:vAlign w:val="center"/>
            <w:hideMark/>
          </w:tcPr>
          <w:p w14:paraId="2A1AEE39" w14:textId="7FAB1D2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103,586,272.92</w:t>
            </w:r>
          </w:p>
        </w:tc>
        <w:tc>
          <w:tcPr>
            <w:tcW w:w="1843" w:type="dxa"/>
            <w:vAlign w:val="center"/>
            <w:hideMark/>
          </w:tcPr>
          <w:p w14:paraId="6631BD3F" w14:textId="182D10F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32,867.20</w:t>
            </w:r>
          </w:p>
        </w:tc>
      </w:tr>
      <w:tr w:rsidR="00403C91" w:rsidRPr="00C953B4" w14:paraId="2B8731F5" w14:textId="77777777" w:rsidTr="004B3002">
        <w:trPr>
          <w:trHeight w:val="315"/>
        </w:trPr>
        <w:tc>
          <w:tcPr>
            <w:tcW w:w="644" w:type="dxa"/>
            <w:vAlign w:val="center"/>
            <w:hideMark/>
          </w:tcPr>
          <w:p w14:paraId="3E3AC58C" w14:textId="120639D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546</w:t>
            </w:r>
          </w:p>
        </w:tc>
        <w:tc>
          <w:tcPr>
            <w:tcW w:w="2753" w:type="dxa"/>
            <w:vAlign w:val="center"/>
            <w:hideMark/>
          </w:tcPr>
          <w:p w14:paraId="6FB9610D" w14:textId="4152895A"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DE LA SIERRA SUR</w:t>
            </w:r>
          </w:p>
        </w:tc>
        <w:tc>
          <w:tcPr>
            <w:tcW w:w="1701" w:type="dxa"/>
            <w:vAlign w:val="center"/>
            <w:hideMark/>
          </w:tcPr>
          <w:p w14:paraId="35CD1DB8" w14:textId="4A55605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344,822,054.30</w:t>
            </w:r>
          </w:p>
        </w:tc>
        <w:tc>
          <w:tcPr>
            <w:tcW w:w="1985" w:type="dxa"/>
            <w:vAlign w:val="center"/>
            <w:hideMark/>
          </w:tcPr>
          <w:p w14:paraId="18F9E833" w14:textId="7791D7C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347,552,283.79</w:t>
            </w:r>
          </w:p>
        </w:tc>
        <w:tc>
          <w:tcPr>
            <w:tcW w:w="1843" w:type="dxa"/>
            <w:vAlign w:val="center"/>
            <w:hideMark/>
          </w:tcPr>
          <w:p w14:paraId="464DA386" w14:textId="31E1B54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2,730,229.49</w:t>
            </w:r>
          </w:p>
        </w:tc>
      </w:tr>
      <w:tr w:rsidR="00403C91" w:rsidRPr="00C953B4" w14:paraId="075BAC15" w14:textId="77777777" w:rsidTr="004B3002">
        <w:trPr>
          <w:trHeight w:val="315"/>
        </w:trPr>
        <w:tc>
          <w:tcPr>
            <w:tcW w:w="644" w:type="dxa"/>
            <w:vAlign w:val="center"/>
            <w:hideMark/>
          </w:tcPr>
          <w:p w14:paraId="7C945B84" w14:textId="610693A6"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547</w:t>
            </w:r>
          </w:p>
        </w:tc>
        <w:tc>
          <w:tcPr>
            <w:tcW w:w="2753" w:type="dxa"/>
            <w:vAlign w:val="center"/>
            <w:hideMark/>
          </w:tcPr>
          <w:p w14:paraId="6287DD26" w14:textId="4B4F095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DEL ISTMO</w:t>
            </w:r>
          </w:p>
        </w:tc>
        <w:tc>
          <w:tcPr>
            <w:tcW w:w="1701" w:type="dxa"/>
            <w:vAlign w:val="center"/>
            <w:hideMark/>
          </w:tcPr>
          <w:p w14:paraId="113BE0EF" w14:textId="16BAE5C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334,970,764.76</w:t>
            </w:r>
          </w:p>
        </w:tc>
        <w:tc>
          <w:tcPr>
            <w:tcW w:w="1985" w:type="dxa"/>
            <w:vAlign w:val="center"/>
            <w:hideMark/>
          </w:tcPr>
          <w:p w14:paraId="4130FA67" w14:textId="6CCF57F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333,723,491.72</w:t>
            </w:r>
          </w:p>
        </w:tc>
        <w:tc>
          <w:tcPr>
            <w:tcW w:w="1843" w:type="dxa"/>
            <w:vAlign w:val="center"/>
            <w:hideMark/>
          </w:tcPr>
          <w:p w14:paraId="0F03297F" w14:textId="6E39F89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-1,247,273.04</w:t>
            </w:r>
          </w:p>
        </w:tc>
      </w:tr>
      <w:tr w:rsidR="00403C91" w:rsidRPr="00C953B4" w14:paraId="733D1F35" w14:textId="77777777" w:rsidTr="004B3002">
        <w:trPr>
          <w:trHeight w:val="315"/>
        </w:trPr>
        <w:tc>
          <w:tcPr>
            <w:tcW w:w="644" w:type="dxa"/>
            <w:vAlign w:val="center"/>
            <w:hideMark/>
          </w:tcPr>
          <w:p w14:paraId="62E544EB" w14:textId="2ADF6EE8"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548</w:t>
            </w:r>
          </w:p>
        </w:tc>
        <w:tc>
          <w:tcPr>
            <w:tcW w:w="2753" w:type="dxa"/>
            <w:vAlign w:val="center"/>
            <w:hideMark/>
          </w:tcPr>
          <w:p w14:paraId="1091DA6B" w14:textId="37DD8FD4"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DEL MAR</w:t>
            </w:r>
          </w:p>
        </w:tc>
        <w:tc>
          <w:tcPr>
            <w:tcW w:w="1701" w:type="dxa"/>
            <w:vAlign w:val="center"/>
            <w:hideMark/>
          </w:tcPr>
          <w:p w14:paraId="4674F5B1" w14:textId="39EF354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520,374,883.16</w:t>
            </w:r>
          </w:p>
        </w:tc>
        <w:tc>
          <w:tcPr>
            <w:tcW w:w="1985" w:type="dxa"/>
            <w:vAlign w:val="center"/>
            <w:hideMark/>
          </w:tcPr>
          <w:p w14:paraId="10025155" w14:textId="0C72F4F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525,553,577.19</w:t>
            </w:r>
          </w:p>
        </w:tc>
        <w:tc>
          <w:tcPr>
            <w:tcW w:w="1843" w:type="dxa"/>
            <w:vAlign w:val="center"/>
            <w:hideMark/>
          </w:tcPr>
          <w:p w14:paraId="43F6EF0A" w14:textId="1A6C9F6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5,178,694.03</w:t>
            </w:r>
          </w:p>
        </w:tc>
      </w:tr>
      <w:tr w:rsidR="00403C91" w:rsidRPr="00C953B4" w14:paraId="15168BF7" w14:textId="77777777" w:rsidTr="004B3002">
        <w:trPr>
          <w:trHeight w:val="315"/>
        </w:trPr>
        <w:tc>
          <w:tcPr>
            <w:tcW w:w="644" w:type="dxa"/>
            <w:vAlign w:val="center"/>
            <w:hideMark/>
          </w:tcPr>
          <w:p w14:paraId="0AE32686" w14:textId="34BA615F"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549</w:t>
            </w:r>
          </w:p>
        </w:tc>
        <w:tc>
          <w:tcPr>
            <w:tcW w:w="2753" w:type="dxa"/>
            <w:vAlign w:val="center"/>
            <w:hideMark/>
          </w:tcPr>
          <w:p w14:paraId="4749964E" w14:textId="56036E11"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DEL PAPALOAPAN</w:t>
            </w:r>
          </w:p>
        </w:tc>
        <w:tc>
          <w:tcPr>
            <w:tcW w:w="1701" w:type="dxa"/>
            <w:vAlign w:val="center"/>
            <w:hideMark/>
          </w:tcPr>
          <w:p w14:paraId="6D180DF1" w14:textId="5E9C358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225,413,836.87</w:t>
            </w:r>
          </w:p>
        </w:tc>
        <w:tc>
          <w:tcPr>
            <w:tcW w:w="1985" w:type="dxa"/>
            <w:vAlign w:val="center"/>
            <w:hideMark/>
          </w:tcPr>
          <w:p w14:paraId="4EDBCE10" w14:textId="5E099C6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224,889,466.46</w:t>
            </w:r>
          </w:p>
        </w:tc>
        <w:tc>
          <w:tcPr>
            <w:tcW w:w="1843" w:type="dxa"/>
            <w:vAlign w:val="center"/>
            <w:hideMark/>
          </w:tcPr>
          <w:p w14:paraId="617D0ADC" w14:textId="71D2086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-524,370.41</w:t>
            </w:r>
          </w:p>
        </w:tc>
      </w:tr>
      <w:tr w:rsidR="00403C91" w:rsidRPr="00C953B4" w14:paraId="4C9043A4" w14:textId="77777777" w:rsidTr="004B3002">
        <w:trPr>
          <w:trHeight w:val="315"/>
        </w:trPr>
        <w:tc>
          <w:tcPr>
            <w:tcW w:w="644" w:type="dxa"/>
            <w:vAlign w:val="center"/>
            <w:hideMark/>
          </w:tcPr>
          <w:p w14:paraId="1D0447BE" w14:textId="6F9295D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550</w:t>
            </w:r>
          </w:p>
        </w:tc>
        <w:tc>
          <w:tcPr>
            <w:tcW w:w="2753" w:type="dxa"/>
            <w:vAlign w:val="center"/>
            <w:hideMark/>
          </w:tcPr>
          <w:p w14:paraId="484102AA" w14:textId="04B5B821"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TECNOLÓGICA DE LA MIXTECA</w:t>
            </w:r>
          </w:p>
        </w:tc>
        <w:tc>
          <w:tcPr>
            <w:tcW w:w="1701" w:type="dxa"/>
            <w:vAlign w:val="center"/>
            <w:hideMark/>
          </w:tcPr>
          <w:p w14:paraId="011007E8" w14:textId="347699C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275,299,097.04</w:t>
            </w:r>
          </w:p>
        </w:tc>
        <w:tc>
          <w:tcPr>
            <w:tcW w:w="1985" w:type="dxa"/>
            <w:vAlign w:val="center"/>
            <w:hideMark/>
          </w:tcPr>
          <w:p w14:paraId="5F0C0215" w14:textId="453C399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272,078,427.26</w:t>
            </w:r>
          </w:p>
        </w:tc>
        <w:tc>
          <w:tcPr>
            <w:tcW w:w="1843" w:type="dxa"/>
            <w:vAlign w:val="center"/>
            <w:hideMark/>
          </w:tcPr>
          <w:p w14:paraId="6AB8BF50" w14:textId="1FA5312D"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-3,220,669.78</w:t>
            </w:r>
          </w:p>
        </w:tc>
      </w:tr>
      <w:tr w:rsidR="00403C91" w:rsidRPr="00C953B4" w14:paraId="7E80F3E1" w14:textId="77777777" w:rsidTr="004B3002">
        <w:trPr>
          <w:trHeight w:val="315"/>
        </w:trPr>
        <w:tc>
          <w:tcPr>
            <w:tcW w:w="644" w:type="dxa"/>
            <w:vAlign w:val="center"/>
            <w:hideMark/>
          </w:tcPr>
          <w:p w14:paraId="557FD3C7" w14:textId="33F3B305"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551</w:t>
            </w:r>
          </w:p>
        </w:tc>
        <w:tc>
          <w:tcPr>
            <w:tcW w:w="2753" w:type="dxa"/>
            <w:vAlign w:val="center"/>
            <w:hideMark/>
          </w:tcPr>
          <w:p w14:paraId="23EC5408" w14:textId="3459D514"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TECNOLÓGICA DE LA SIERRA SUR DE OAXACA</w:t>
            </w:r>
          </w:p>
        </w:tc>
        <w:tc>
          <w:tcPr>
            <w:tcW w:w="1701" w:type="dxa"/>
            <w:vAlign w:val="center"/>
            <w:hideMark/>
          </w:tcPr>
          <w:p w14:paraId="3C608F79" w14:textId="1F5C6BC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7,544,093.02</w:t>
            </w:r>
          </w:p>
        </w:tc>
        <w:tc>
          <w:tcPr>
            <w:tcW w:w="1985" w:type="dxa"/>
            <w:vAlign w:val="center"/>
            <w:hideMark/>
          </w:tcPr>
          <w:p w14:paraId="5F6CE341" w14:textId="241EB99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7,544,093.02</w:t>
            </w:r>
          </w:p>
        </w:tc>
        <w:tc>
          <w:tcPr>
            <w:tcW w:w="1843" w:type="dxa"/>
            <w:vAlign w:val="center"/>
            <w:hideMark/>
          </w:tcPr>
          <w:p w14:paraId="6F572DB2" w14:textId="5078A7B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3B19F022" w14:textId="77777777" w:rsidTr="004B3002">
        <w:trPr>
          <w:trHeight w:val="315"/>
        </w:trPr>
        <w:tc>
          <w:tcPr>
            <w:tcW w:w="644" w:type="dxa"/>
            <w:vAlign w:val="center"/>
            <w:hideMark/>
          </w:tcPr>
          <w:p w14:paraId="3419066F" w14:textId="2DF09B5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552</w:t>
            </w:r>
          </w:p>
        </w:tc>
        <w:tc>
          <w:tcPr>
            <w:tcW w:w="2753" w:type="dxa"/>
            <w:vAlign w:val="center"/>
            <w:hideMark/>
          </w:tcPr>
          <w:p w14:paraId="3F18A85E" w14:textId="4D3B7CA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 xml:space="preserve">UNIVERSIDAD TECNOLÓGICA DE LOS </w:t>
            </w:r>
            <w:r w:rsidRPr="00C953B4">
              <w:rPr>
                <w:rFonts w:ascii="Montserrat" w:hAnsi="Montserrat" w:cs="Calibri"/>
                <w:color w:val="000000"/>
                <w:sz w:val="20"/>
                <w:szCs w:val="20"/>
              </w:rPr>
              <w:lastRenderedPageBreak/>
              <w:t>VALLES CENTRALES DE OAXACA</w:t>
            </w:r>
          </w:p>
        </w:tc>
        <w:tc>
          <w:tcPr>
            <w:tcW w:w="1701" w:type="dxa"/>
            <w:vAlign w:val="center"/>
            <w:hideMark/>
          </w:tcPr>
          <w:p w14:paraId="2FFFE209" w14:textId="3FD81D4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lastRenderedPageBreak/>
              <w:t>83,406,136.57</w:t>
            </w:r>
          </w:p>
        </w:tc>
        <w:tc>
          <w:tcPr>
            <w:tcW w:w="1985" w:type="dxa"/>
            <w:vAlign w:val="center"/>
            <w:hideMark/>
          </w:tcPr>
          <w:p w14:paraId="068F3C7A" w14:textId="1790DBF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82,792,441.82</w:t>
            </w:r>
          </w:p>
        </w:tc>
        <w:tc>
          <w:tcPr>
            <w:tcW w:w="1843" w:type="dxa"/>
            <w:vAlign w:val="center"/>
            <w:hideMark/>
          </w:tcPr>
          <w:p w14:paraId="400FD98E" w14:textId="4B50ACB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-613,694.75</w:t>
            </w:r>
          </w:p>
        </w:tc>
      </w:tr>
      <w:tr w:rsidR="00403C91" w:rsidRPr="00C953B4" w14:paraId="0CB2EC1F" w14:textId="77777777" w:rsidTr="004B3002">
        <w:trPr>
          <w:trHeight w:val="465"/>
        </w:trPr>
        <w:tc>
          <w:tcPr>
            <w:tcW w:w="644" w:type="dxa"/>
            <w:tcBorders>
              <w:bottom w:val="single" w:sz="4" w:space="0" w:color="auto"/>
            </w:tcBorders>
            <w:vAlign w:val="center"/>
            <w:hideMark/>
          </w:tcPr>
          <w:p w14:paraId="6D1E1021" w14:textId="031C5A9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554</w:t>
            </w:r>
          </w:p>
        </w:tc>
        <w:tc>
          <w:tcPr>
            <w:tcW w:w="2753" w:type="dxa"/>
            <w:tcBorders>
              <w:bottom w:val="single" w:sz="4" w:space="0" w:color="auto"/>
            </w:tcBorders>
            <w:vAlign w:val="center"/>
            <w:hideMark/>
          </w:tcPr>
          <w:p w14:paraId="355DC2A4" w14:textId="51BEB7D5"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DEFENSORÍA PÚBLICA DEL ESTADO DE OAXACA</w:t>
            </w:r>
          </w:p>
        </w:tc>
        <w:tc>
          <w:tcPr>
            <w:tcW w:w="1701" w:type="dxa"/>
            <w:tcBorders>
              <w:bottom w:val="single" w:sz="4" w:space="0" w:color="auto"/>
            </w:tcBorders>
            <w:vAlign w:val="center"/>
            <w:hideMark/>
          </w:tcPr>
          <w:p w14:paraId="6900E2C5" w14:textId="2497B43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2,925,394.73</w:t>
            </w:r>
          </w:p>
        </w:tc>
        <w:tc>
          <w:tcPr>
            <w:tcW w:w="1985" w:type="dxa"/>
            <w:tcBorders>
              <w:bottom w:val="single" w:sz="4" w:space="0" w:color="auto"/>
            </w:tcBorders>
            <w:vAlign w:val="center"/>
            <w:hideMark/>
          </w:tcPr>
          <w:p w14:paraId="62088D8F" w14:textId="0BC99F8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2,925,394.73</w:t>
            </w:r>
          </w:p>
        </w:tc>
        <w:tc>
          <w:tcPr>
            <w:tcW w:w="1843" w:type="dxa"/>
            <w:tcBorders>
              <w:bottom w:val="single" w:sz="4" w:space="0" w:color="auto"/>
            </w:tcBorders>
            <w:vAlign w:val="center"/>
            <w:hideMark/>
          </w:tcPr>
          <w:p w14:paraId="7D2B99A9" w14:textId="23A0F14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3360DC56" w14:textId="77777777" w:rsidTr="004B3002">
        <w:trPr>
          <w:trHeight w:val="315"/>
        </w:trPr>
        <w:tc>
          <w:tcPr>
            <w:tcW w:w="644" w:type="dxa"/>
            <w:tcBorders>
              <w:bottom w:val="single" w:sz="4" w:space="0" w:color="auto"/>
            </w:tcBorders>
            <w:vAlign w:val="center"/>
            <w:hideMark/>
          </w:tcPr>
          <w:p w14:paraId="47192153" w14:textId="0D45CF55"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555</w:t>
            </w:r>
          </w:p>
        </w:tc>
        <w:tc>
          <w:tcPr>
            <w:tcW w:w="2753" w:type="dxa"/>
            <w:tcBorders>
              <w:bottom w:val="single" w:sz="4" w:space="0" w:color="auto"/>
            </w:tcBorders>
            <w:vAlign w:val="center"/>
            <w:hideMark/>
          </w:tcPr>
          <w:p w14:paraId="2A20529B" w14:textId="213BA47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OAXAQUEÑO DEL EMPRENDEDOR Y DE LA COMPETITIVIDAD</w:t>
            </w:r>
          </w:p>
        </w:tc>
        <w:tc>
          <w:tcPr>
            <w:tcW w:w="1701" w:type="dxa"/>
            <w:tcBorders>
              <w:bottom w:val="single" w:sz="4" w:space="0" w:color="auto"/>
            </w:tcBorders>
            <w:vAlign w:val="center"/>
            <w:hideMark/>
          </w:tcPr>
          <w:p w14:paraId="350DDBE7" w14:textId="216D0FB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545,827.96</w:t>
            </w:r>
          </w:p>
        </w:tc>
        <w:tc>
          <w:tcPr>
            <w:tcW w:w="1985" w:type="dxa"/>
            <w:tcBorders>
              <w:bottom w:val="single" w:sz="4" w:space="0" w:color="auto"/>
            </w:tcBorders>
            <w:vAlign w:val="center"/>
            <w:hideMark/>
          </w:tcPr>
          <w:p w14:paraId="6FB9ED5B" w14:textId="00A5A704"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c>
          <w:tcPr>
            <w:tcW w:w="1843" w:type="dxa"/>
            <w:tcBorders>
              <w:bottom w:val="single" w:sz="4" w:space="0" w:color="auto"/>
            </w:tcBorders>
            <w:vAlign w:val="center"/>
            <w:hideMark/>
          </w:tcPr>
          <w:p w14:paraId="4AD39DFD" w14:textId="4F353C4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-545,827.96</w:t>
            </w:r>
          </w:p>
        </w:tc>
      </w:tr>
      <w:tr w:rsidR="00403C91" w:rsidRPr="00C953B4" w14:paraId="229A7756" w14:textId="77777777" w:rsidTr="004B3002">
        <w:trPr>
          <w:trHeight w:val="315"/>
        </w:trPr>
        <w:tc>
          <w:tcPr>
            <w:tcW w:w="644" w:type="dxa"/>
            <w:tcBorders>
              <w:top w:val="single" w:sz="4" w:space="0" w:color="auto"/>
              <w:left w:val="single" w:sz="4" w:space="0" w:color="auto"/>
              <w:bottom w:val="single" w:sz="4" w:space="0" w:color="auto"/>
              <w:right w:val="single" w:sz="4" w:space="0" w:color="auto"/>
            </w:tcBorders>
            <w:vAlign w:val="center"/>
          </w:tcPr>
          <w:p w14:paraId="050ED175" w14:textId="48576CA7" w:rsidR="00403C91" w:rsidRPr="00C953B4" w:rsidRDefault="00403C91" w:rsidP="00403C91">
            <w:pPr>
              <w:tabs>
                <w:tab w:val="left" w:pos="7260"/>
              </w:tabs>
              <w:rPr>
                <w:rFonts w:ascii="Montserrat" w:hAnsi="Montserrat"/>
                <w:sz w:val="20"/>
                <w:szCs w:val="20"/>
              </w:rPr>
            </w:pPr>
            <w:r w:rsidRPr="00C953B4">
              <w:rPr>
                <w:rFonts w:ascii="Montserrat" w:hAnsi="Montserrat" w:cs="Calibri"/>
                <w:color w:val="000000"/>
                <w:sz w:val="20"/>
                <w:szCs w:val="20"/>
              </w:rPr>
              <w:t>558</w:t>
            </w:r>
          </w:p>
        </w:tc>
        <w:tc>
          <w:tcPr>
            <w:tcW w:w="2753" w:type="dxa"/>
            <w:tcBorders>
              <w:top w:val="single" w:sz="4" w:space="0" w:color="auto"/>
              <w:left w:val="single" w:sz="4" w:space="0" w:color="auto"/>
              <w:bottom w:val="single" w:sz="4" w:space="0" w:color="auto"/>
              <w:right w:val="single" w:sz="4" w:space="0" w:color="auto"/>
            </w:tcBorders>
            <w:vAlign w:val="center"/>
          </w:tcPr>
          <w:p w14:paraId="24862649" w14:textId="5CF02738" w:rsidR="00403C91" w:rsidRPr="00C953B4" w:rsidRDefault="00403C91" w:rsidP="00403C91">
            <w:pPr>
              <w:tabs>
                <w:tab w:val="left" w:pos="7260"/>
              </w:tabs>
              <w:rPr>
                <w:rFonts w:ascii="Montserrat" w:hAnsi="Montserrat"/>
                <w:sz w:val="20"/>
                <w:szCs w:val="20"/>
              </w:rPr>
            </w:pPr>
            <w:r w:rsidRPr="00C953B4">
              <w:rPr>
                <w:rFonts w:ascii="Montserrat" w:hAnsi="Montserrat" w:cs="Calibri"/>
                <w:color w:val="000000"/>
                <w:sz w:val="20"/>
                <w:szCs w:val="20"/>
              </w:rPr>
              <w:t>INSTITUTO DE LA FUNCIÓN REGISTRAL DEL ESTADO DE OAXACA</w:t>
            </w:r>
          </w:p>
        </w:tc>
        <w:tc>
          <w:tcPr>
            <w:tcW w:w="1701" w:type="dxa"/>
            <w:tcBorders>
              <w:top w:val="single" w:sz="4" w:space="0" w:color="auto"/>
              <w:left w:val="single" w:sz="4" w:space="0" w:color="auto"/>
              <w:bottom w:val="single" w:sz="4" w:space="0" w:color="auto"/>
              <w:right w:val="single" w:sz="4" w:space="0" w:color="auto"/>
            </w:tcBorders>
            <w:vAlign w:val="center"/>
          </w:tcPr>
          <w:p w14:paraId="49777B83" w14:textId="041D8669"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30,841,293.48</w:t>
            </w:r>
          </w:p>
        </w:tc>
        <w:tc>
          <w:tcPr>
            <w:tcW w:w="1985" w:type="dxa"/>
            <w:tcBorders>
              <w:top w:val="single" w:sz="4" w:space="0" w:color="auto"/>
              <w:left w:val="single" w:sz="4" w:space="0" w:color="auto"/>
              <w:bottom w:val="single" w:sz="4" w:space="0" w:color="auto"/>
              <w:right w:val="single" w:sz="4" w:space="0" w:color="auto"/>
            </w:tcBorders>
            <w:vAlign w:val="center"/>
          </w:tcPr>
          <w:p w14:paraId="07CA24E3" w14:textId="7BBA0F4E"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30,841,293.48</w:t>
            </w:r>
          </w:p>
        </w:tc>
        <w:tc>
          <w:tcPr>
            <w:tcW w:w="1843" w:type="dxa"/>
            <w:tcBorders>
              <w:top w:val="single" w:sz="4" w:space="0" w:color="auto"/>
              <w:left w:val="single" w:sz="4" w:space="0" w:color="auto"/>
              <w:bottom w:val="single" w:sz="4" w:space="0" w:color="auto"/>
              <w:right w:val="single" w:sz="4" w:space="0" w:color="auto"/>
            </w:tcBorders>
            <w:vAlign w:val="center"/>
          </w:tcPr>
          <w:p w14:paraId="70F5D933" w14:textId="2BEA2723"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0.00</w:t>
            </w:r>
          </w:p>
        </w:tc>
      </w:tr>
      <w:tr w:rsidR="00403C91" w:rsidRPr="00C953B4" w14:paraId="373F2720" w14:textId="77777777" w:rsidTr="004B3002">
        <w:trPr>
          <w:trHeight w:val="465"/>
        </w:trPr>
        <w:tc>
          <w:tcPr>
            <w:tcW w:w="644" w:type="dxa"/>
            <w:tcBorders>
              <w:top w:val="single" w:sz="4" w:space="0" w:color="auto"/>
            </w:tcBorders>
            <w:vAlign w:val="center"/>
            <w:hideMark/>
          </w:tcPr>
          <w:p w14:paraId="25F19886" w14:textId="101410DA"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559</w:t>
            </w:r>
          </w:p>
        </w:tc>
        <w:tc>
          <w:tcPr>
            <w:tcW w:w="2753" w:type="dxa"/>
            <w:tcBorders>
              <w:top w:val="single" w:sz="4" w:space="0" w:color="auto"/>
            </w:tcBorders>
            <w:vAlign w:val="center"/>
            <w:hideMark/>
          </w:tcPr>
          <w:p w14:paraId="407518E2" w14:textId="167C8A48"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SECRETARÍA EJECUTIVA DEL SISTEMA ESTATAL DE COMBATE A LA CORRUPCIÓN</w:t>
            </w:r>
          </w:p>
        </w:tc>
        <w:tc>
          <w:tcPr>
            <w:tcW w:w="1701" w:type="dxa"/>
            <w:tcBorders>
              <w:top w:val="single" w:sz="4" w:space="0" w:color="auto"/>
            </w:tcBorders>
            <w:vAlign w:val="center"/>
            <w:hideMark/>
          </w:tcPr>
          <w:p w14:paraId="67486586" w14:textId="7D8CEB0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825,832.01</w:t>
            </w:r>
          </w:p>
        </w:tc>
        <w:tc>
          <w:tcPr>
            <w:tcW w:w="1985" w:type="dxa"/>
            <w:tcBorders>
              <w:top w:val="single" w:sz="4" w:space="0" w:color="auto"/>
            </w:tcBorders>
            <w:vAlign w:val="center"/>
            <w:hideMark/>
          </w:tcPr>
          <w:p w14:paraId="5F6BB433" w14:textId="07BC518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825,355.48</w:t>
            </w:r>
          </w:p>
        </w:tc>
        <w:tc>
          <w:tcPr>
            <w:tcW w:w="1843" w:type="dxa"/>
            <w:tcBorders>
              <w:top w:val="single" w:sz="4" w:space="0" w:color="auto"/>
            </w:tcBorders>
            <w:vAlign w:val="center"/>
            <w:hideMark/>
          </w:tcPr>
          <w:p w14:paraId="41ECDF4B" w14:textId="4B1AC31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-476.53</w:t>
            </w:r>
          </w:p>
        </w:tc>
      </w:tr>
      <w:tr w:rsidR="00403C91" w:rsidRPr="00C953B4" w14:paraId="13B9EF38" w14:textId="77777777" w:rsidTr="004B3002">
        <w:trPr>
          <w:trHeight w:val="315"/>
        </w:trPr>
        <w:tc>
          <w:tcPr>
            <w:tcW w:w="644" w:type="dxa"/>
            <w:vAlign w:val="center"/>
            <w:hideMark/>
          </w:tcPr>
          <w:p w14:paraId="0CCCB92A" w14:textId="1FAD0C4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561</w:t>
            </w:r>
          </w:p>
        </w:tc>
        <w:tc>
          <w:tcPr>
            <w:tcW w:w="2753" w:type="dxa"/>
            <w:vAlign w:val="center"/>
            <w:hideMark/>
          </w:tcPr>
          <w:p w14:paraId="24E83F20" w14:textId="18C45DE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ORGANISMO OPERADOR ENCARGADO DE LA GESTIÓN Y MANEJO INTEGRAL DE LOS RESIDUOS SÓLIDOS URBANOS Y DE MANEJO ESPECIAL DEL ESTADO DE OAXACA</w:t>
            </w:r>
          </w:p>
        </w:tc>
        <w:tc>
          <w:tcPr>
            <w:tcW w:w="1701" w:type="dxa"/>
            <w:vAlign w:val="center"/>
            <w:hideMark/>
          </w:tcPr>
          <w:p w14:paraId="7CCA714F" w14:textId="37CA937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952,438.41</w:t>
            </w:r>
          </w:p>
        </w:tc>
        <w:tc>
          <w:tcPr>
            <w:tcW w:w="1985" w:type="dxa"/>
            <w:vAlign w:val="center"/>
            <w:hideMark/>
          </w:tcPr>
          <w:p w14:paraId="7D69D6DC" w14:textId="3252B19E"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952,438.41</w:t>
            </w:r>
          </w:p>
        </w:tc>
        <w:tc>
          <w:tcPr>
            <w:tcW w:w="1843" w:type="dxa"/>
            <w:vAlign w:val="center"/>
            <w:hideMark/>
          </w:tcPr>
          <w:p w14:paraId="6064BD2A" w14:textId="0010901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113D3CF6" w14:textId="77777777" w:rsidTr="004B3002">
        <w:trPr>
          <w:trHeight w:val="465"/>
        </w:trPr>
        <w:tc>
          <w:tcPr>
            <w:tcW w:w="644" w:type="dxa"/>
            <w:vAlign w:val="center"/>
            <w:hideMark/>
          </w:tcPr>
          <w:p w14:paraId="5F1AED97" w14:textId="7E4625EA"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562</w:t>
            </w:r>
          </w:p>
        </w:tc>
        <w:tc>
          <w:tcPr>
            <w:tcW w:w="2753" w:type="dxa"/>
            <w:vAlign w:val="center"/>
            <w:hideMark/>
          </w:tcPr>
          <w:p w14:paraId="2719A72D" w14:textId="262E2A2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COORDINACIÓN DE DELEGADOS DE PAZ SOCIAL</w:t>
            </w:r>
          </w:p>
        </w:tc>
        <w:tc>
          <w:tcPr>
            <w:tcW w:w="1701" w:type="dxa"/>
            <w:vAlign w:val="center"/>
            <w:hideMark/>
          </w:tcPr>
          <w:p w14:paraId="1E2F43B7" w14:textId="7D0B8CE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1,775,555.81</w:t>
            </w:r>
          </w:p>
        </w:tc>
        <w:tc>
          <w:tcPr>
            <w:tcW w:w="1985" w:type="dxa"/>
            <w:vAlign w:val="center"/>
            <w:hideMark/>
          </w:tcPr>
          <w:p w14:paraId="16457935" w14:textId="2A46677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1,775,555.81</w:t>
            </w:r>
          </w:p>
        </w:tc>
        <w:tc>
          <w:tcPr>
            <w:tcW w:w="1843" w:type="dxa"/>
            <w:vAlign w:val="center"/>
            <w:hideMark/>
          </w:tcPr>
          <w:p w14:paraId="0247A2CD" w14:textId="5B4093E2"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600B80CC" w14:textId="77777777" w:rsidTr="004B3002">
        <w:trPr>
          <w:trHeight w:val="690"/>
        </w:trPr>
        <w:tc>
          <w:tcPr>
            <w:tcW w:w="644" w:type="dxa"/>
            <w:vAlign w:val="center"/>
            <w:hideMark/>
          </w:tcPr>
          <w:p w14:paraId="75585C78" w14:textId="6B7F1ED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563</w:t>
            </w:r>
          </w:p>
        </w:tc>
        <w:tc>
          <w:tcPr>
            <w:tcW w:w="2753" w:type="dxa"/>
            <w:vAlign w:val="center"/>
            <w:hideMark/>
          </w:tcPr>
          <w:p w14:paraId="59E053CA" w14:textId="5ADD518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TELEBACHILLERATO COMUNITARIO DEL ESTADO DE OAXACA</w:t>
            </w:r>
          </w:p>
        </w:tc>
        <w:tc>
          <w:tcPr>
            <w:tcW w:w="1701" w:type="dxa"/>
            <w:vAlign w:val="center"/>
            <w:hideMark/>
          </w:tcPr>
          <w:p w14:paraId="0DFB5151" w14:textId="16E5A0B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7,680,866.22</w:t>
            </w:r>
          </w:p>
        </w:tc>
        <w:tc>
          <w:tcPr>
            <w:tcW w:w="1985" w:type="dxa"/>
            <w:vAlign w:val="center"/>
            <w:hideMark/>
          </w:tcPr>
          <w:p w14:paraId="7D6B373C" w14:textId="5289807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6,946,890.63</w:t>
            </w:r>
          </w:p>
        </w:tc>
        <w:tc>
          <w:tcPr>
            <w:tcW w:w="1843" w:type="dxa"/>
            <w:vAlign w:val="center"/>
            <w:hideMark/>
          </w:tcPr>
          <w:p w14:paraId="1532FC73" w14:textId="6C449E1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-733,975.59</w:t>
            </w:r>
          </w:p>
        </w:tc>
      </w:tr>
      <w:tr w:rsidR="00403C91" w:rsidRPr="00C953B4" w14:paraId="49DB6D06" w14:textId="77777777" w:rsidTr="004B3002">
        <w:trPr>
          <w:trHeight w:val="315"/>
        </w:trPr>
        <w:tc>
          <w:tcPr>
            <w:tcW w:w="644" w:type="dxa"/>
            <w:vAlign w:val="center"/>
            <w:hideMark/>
          </w:tcPr>
          <w:p w14:paraId="3458F4B7" w14:textId="08C86BCC"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565</w:t>
            </w:r>
          </w:p>
        </w:tc>
        <w:tc>
          <w:tcPr>
            <w:tcW w:w="2753" w:type="dxa"/>
            <w:vAlign w:val="center"/>
            <w:hideMark/>
          </w:tcPr>
          <w:p w14:paraId="53B0EBD1" w14:textId="16F305FD"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INSTITUTO DEL DEPORTE</w:t>
            </w:r>
          </w:p>
        </w:tc>
        <w:tc>
          <w:tcPr>
            <w:tcW w:w="1701" w:type="dxa"/>
            <w:vAlign w:val="center"/>
            <w:hideMark/>
          </w:tcPr>
          <w:p w14:paraId="45539AE0" w14:textId="2947096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5,296,816.09</w:t>
            </w:r>
          </w:p>
        </w:tc>
        <w:tc>
          <w:tcPr>
            <w:tcW w:w="1985" w:type="dxa"/>
            <w:vAlign w:val="center"/>
            <w:hideMark/>
          </w:tcPr>
          <w:p w14:paraId="33695712" w14:textId="3D02391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5,296,816.09</w:t>
            </w:r>
          </w:p>
        </w:tc>
        <w:tc>
          <w:tcPr>
            <w:tcW w:w="1843" w:type="dxa"/>
            <w:vAlign w:val="center"/>
            <w:hideMark/>
          </w:tcPr>
          <w:p w14:paraId="6B3E2341" w14:textId="6188122B"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74296FEE" w14:textId="77777777" w:rsidTr="004B3002">
        <w:trPr>
          <w:trHeight w:val="315"/>
        </w:trPr>
        <w:tc>
          <w:tcPr>
            <w:tcW w:w="644" w:type="dxa"/>
            <w:vAlign w:val="center"/>
            <w:hideMark/>
          </w:tcPr>
          <w:p w14:paraId="01F25520" w14:textId="49A45086"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568</w:t>
            </w:r>
          </w:p>
        </w:tc>
        <w:tc>
          <w:tcPr>
            <w:tcW w:w="2753" w:type="dxa"/>
            <w:vAlign w:val="center"/>
            <w:hideMark/>
          </w:tcPr>
          <w:p w14:paraId="48B86D37" w14:textId="2C1353C1"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SISTEMA DE TRANSPORTE COLECTIVO METROPOLITANO CITYBUS OAXACA</w:t>
            </w:r>
          </w:p>
        </w:tc>
        <w:tc>
          <w:tcPr>
            <w:tcW w:w="1701" w:type="dxa"/>
            <w:vAlign w:val="center"/>
            <w:hideMark/>
          </w:tcPr>
          <w:p w14:paraId="6642A07C" w14:textId="782648C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12,984,903.85</w:t>
            </w:r>
          </w:p>
        </w:tc>
        <w:tc>
          <w:tcPr>
            <w:tcW w:w="1985" w:type="dxa"/>
            <w:vAlign w:val="center"/>
            <w:hideMark/>
          </w:tcPr>
          <w:p w14:paraId="2513AD29" w14:textId="2FC9FBE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131,664,120.49</w:t>
            </w:r>
          </w:p>
        </w:tc>
        <w:tc>
          <w:tcPr>
            <w:tcW w:w="1843" w:type="dxa"/>
            <w:vAlign w:val="center"/>
            <w:hideMark/>
          </w:tcPr>
          <w:p w14:paraId="7EE6B7E3" w14:textId="59CCF17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118,679,216.64</w:t>
            </w:r>
          </w:p>
        </w:tc>
      </w:tr>
      <w:tr w:rsidR="00403C91" w:rsidRPr="00C953B4" w14:paraId="2EC03A10" w14:textId="77777777" w:rsidTr="004B3002">
        <w:trPr>
          <w:trHeight w:val="315"/>
        </w:trPr>
        <w:tc>
          <w:tcPr>
            <w:tcW w:w="644" w:type="dxa"/>
            <w:vAlign w:val="center"/>
            <w:hideMark/>
          </w:tcPr>
          <w:p w14:paraId="74B7F006" w14:textId="7A009D2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569</w:t>
            </w:r>
          </w:p>
        </w:tc>
        <w:tc>
          <w:tcPr>
            <w:tcW w:w="2753" w:type="dxa"/>
            <w:vAlign w:val="center"/>
            <w:hideMark/>
          </w:tcPr>
          <w:p w14:paraId="4F800C0B" w14:textId="753DE55D"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POLITÉCNICA DE NOCHIXTLÁN ABRAHAM CASTELLANOS</w:t>
            </w:r>
          </w:p>
        </w:tc>
        <w:tc>
          <w:tcPr>
            <w:tcW w:w="1701" w:type="dxa"/>
            <w:vAlign w:val="center"/>
            <w:hideMark/>
          </w:tcPr>
          <w:p w14:paraId="7E5AD131" w14:textId="0DFFBD02"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4,002,985.11</w:t>
            </w:r>
          </w:p>
        </w:tc>
        <w:tc>
          <w:tcPr>
            <w:tcW w:w="1985" w:type="dxa"/>
            <w:vAlign w:val="center"/>
            <w:hideMark/>
          </w:tcPr>
          <w:p w14:paraId="7D1844C6" w14:textId="2D1C165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3,679,327.09</w:t>
            </w:r>
          </w:p>
        </w:tc>
        <w:tc>
          <w:tcPr>
            <w:tcW w:w="1843" w:type="dxa"/>
            <w:vAlign w:val="center"/>
            <w:hideMark/>
          </w:tcPr>
          <w:p w14:paraId="2713696D" w14:textId="32366B42"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-323,658.02</w:t>
            </w:r>
          </w:p>
        </w:tc>
      </w:tr>
      <w:tr w:rsidR="00403C91" w:rsidRPr="00C953B4" w14:paraId="62DE10D0" w14:textId="77777777" w:rsidTr="004B3002">
        <w:trPr>
          <w:trHeight w:val="465"/>
        </w:trPr>
        <w:tc>
          <w:tcPr>
            <w:tcW w:w="644" w:type="dxa"/>
            <w:tcBorders>
              <w:bottom w:val="single" w:sz="4" w:space="0" w:color="auto"/>
            </w:tcBorders>
            <w:vAlign w:val="center"/>
            <w:hideMark/>
          </w:tcPr>
          <w:p w14:paraId="1F804BE2" w14:textId="3F2D870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lastRenderedPageBreak/>
              <w:t>570</w:t>
            </w:r>
          </w:p>
        </w:tc>
        <w:tc>
          <w:tcPr>
            <w:tcW w:w="2753" w:type="dxa"/>
            <w:tcBorders>
              <w:bottom w:val="single" w:sz="4" w:space="0" w:color="auto"/>
            </w:tcBorders>
            <w:vAlign w:val="center"/>
            <w:hideMark/>
          </w:tcPr>
          <w:p w14:paraId="17EBEF4D" w14:textId="4FB5BEDA"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UNIVERSIDAD AUTÓNOMA COMUNAL DE OAXACA</w:t>
            </w:r>
          </w:p>
        </w:tc>
        <w:tc>
          <w:tcPr>
            <w:tcW w:w="1701" w:type="dxa"/>
            <w:tcBorders>
              <w:bottom w:val="single" w:sz="4" w:space="0" w:color="auto"/>
            </w:tcBorders>
            <w:vAlign w:val="center"/>
            <w:hideMark/>
          </w:tcPr>
          <w:p w14:paraId="51481A6A" w14:textId="421CA0A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c>
          <w:tcPr>
            <w:tcW w:w="1985" w:type="dxa"/>
            <w:tcBorders>
              <w:bottom w:val="single" w:sz="4" w:space="0" w:color="auto"/>
            </w:tcBorders>
            <w:vAlign w:val="center"/>
            <w:hideMark/>
          </w:tcPr>
          <w:p w14:paraId="562A2C3F" w14:textId="60B3896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3,772,306.16</w:t>
            </w:r>
          </w:p>
        </w:tc>
        <w:tc>
          <w:tcPr>
            <w:tcW w:w="1843" w:type="dxa"/>
            <w:tcBorders>
              <w:bottom w:val="single" w:sz="4" w:space="0" w:color="auto"/>
            </w:tcBorders>
            <w:vAlign w:val="center"/>
            <w:hideMark/>
          </w:tcPr>
          <w:p w14:paraId="2AF061A0" w14:textId="2F33199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3,772,306.16</w:t>
            </w:r>
          </w:p>
        </w:tc>
      </w:tr>
      <w:tr w:rsidR="00403C91" w:rsidRPr="00C953B4" w14:paraId="72C13042" w14:textId="77777777" w:rsidTr="004B3002">
        <w:trPr>
          <w:trHeight w:val="465"/>
        </w:trPr>
        <w:tc>
          <w:tcPr>
            <w:tcW w:w="644" w:type="dxa"/>
            <w:tcBorders>
              <w:bottom w:val="single" w:sz="4" w:space="0" w:color="auto"/>
            </w:tcBorders>
            <w:vAlign w:val="center"/>
            <w:hideMark/>
          </w:tcPr>
          <w:p w14:paraId="7C37E5A8" w14:textId="3A3EFE9C"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571</w:t>
            </w:r>
          </w:p>
        </w:tc>
        <w:tc>
          <w:tcPr>
            <w:tcW w:w="2753" w:type="dxa"/>
            <w:tcBorders>
              <w:bottom w:val="single" w:sz="4" w:space="0" w:color="auto"/>
            </w:tcBorders>
            <w:vAlign w:val="center"/>
            <w:hideMark/>
          </w:tcPr>
          <w:p w14:paraId="07726608" w14:textId="142F124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COMISIÓN ESTATAL DE BÚSQUEDA DE PERSONAS DESAPARECIDAS PARA EL ESTADO DE OAXACA</w:t>
            </w:r>
          </w:p>
        </w:tc>
        <w:tc>
          <w:tcPr>
            <w:tcW w:w="1701" w:type="dxa"/>
            <w:tcBorders>
              <w:bottom w:val="single" w:sz="4" w:space="0" w:color="auto"/>
            </w:tcBorders>
            <w:vAlign w:val="center"/>
            <w:hideMark/>
          </w:tcPr>
          <w:p w14:paraId="4AC0E818" w14:textId="17A5E57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14,070,548.84</w:t>
            </w:r>
          </w:p>
        </w:tc>
        <w:tc>
          <w:tcPr>
            <w:tcW w:w="1985" w:type="dxa"/>
            <w:tcBorders>
              <w:bottom w:val="single" w:sz="4" w:space="0" w:color="auto"/>
            </w:tcBorders>
            <w:vAlign w:val="center"/>
            <w:hideMark/>
          </w:tcPr>
          <w:p w14:paraId="6594BA7B" w14:textId="159068BD"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14,316,790.38</w:t>
            </w:r>
          </w:p>
        </w:tc>
        <w:tc>
          <w:tcPr>
            <w:tcW w:w="1843" w:type="dxa"/>
            <w:tcBorders>
              <w:bottom w:val="single" w:sz="4" w:space="0" w:color="auto"/>
            </w:tcBorders>
            <w:vAlign w:val="center"/>
            <w:hideMark/>
          </w:tcPr>
          <w:p w14:paraId="15C2F1C1" w14:textId="35B3079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246,241.54</w:t>
            </w:r>
          </w:p>
        </w:tc>
      </w:tr>
      <w:tr w:rsidR="00403C91" w:rsidRPr="00C953B4" w14:paraId="5894C8D7" w14:textId="77777777" w:rsidTr="004B3002">
        <w:trPr>
          <w:trHeight w:val="465"/>
        </w:trPr>
        <w:tc>
          <w:tcPr>
            <w:tcW w:w="644" w:type="dxa"/>
            <w:tcBorders>
              <w:top w:val="single" w:sz="4" w:space="0" w:color="auto"/>
              <w:left w:val="single" w:sz="4" w:space="0" w:color="auto"/>
              <w:bottom w:val="single" w:sz="4" w:space="0" w:color="auto"/>
              <w:right w:val="single" w:sz="4" w:space="0" w:color="auto"/>
            </w:tcBorders>
            <w:vAlign w:val="center"/>
          </w:tcPr>
          <w:p w14:paraId="407C0787" w14:textId="3037AF55" w:rsidR="00403C91" w:rsidRPr="00C953B4" w:rsidRDefault="00403C91" w:rsidP="00403C91">
            <w:pPr>
              <w:tabs>
                <w:tab w:val="left" w:pos="7260"/>
              </w:tabs>
              <w:rPr>
                <w:rFonts w:ascii="Montserrat" w:hAnsi="Montserrat"/>
                <w:sz w:val="20"/>
                <w:szCs w:val="20"/>
              </w:rPr>
            </w:pPr>
            <w:r w:rsidRPr="00C953B4">
              <w:rPr>
                <w:rFonts w:ascii="Montserrat" w:hAnsi="Montserrat" w:cs="Calibri"/>
                <w:color w:val="000000"/>
                <w:sz w:val="20"/>
                <w:szCs w:val="20"/>
              </w:rPr>
              <w:t>572</w:t>
            </w:r>
          </w:p>
        </w:tc>
        <w:tc>
          <w:tcPr>
            <w:tcW w:w="2753" w:type="dxa"/>
            <w:tcBorders>
              <w:top w:val="single" w:sz="4" w:space="0" w:color="auto"/>
              <w:left w:val="single" w:sz="4" w:space="0" w:color="auto"/>
              <w:bottom w:val="single" w:sz="4" w:space="0" w:color="auto"/>
              <w:right w:val="single" w:sz="4" w:space="0" w:color="auto"/>
            </w:tcBorders>
            <w:vAlign w:val="center"/>
          </w:tcPr>
          <w:p w14:paraId="7139A1AD" w14:textId="634E2A8A" w:rsidR="00403C91" w:rsidRPr="00C953B4" w:rsidRDefault="00403C91" w:rsidP="00403C91">
            <w:pPr>
              <w:tabs>
                <w:tab w:val="left" w:pos="7260"/>
              </w:tabs>
              <w:rPr>
                <w:rFonts w:ascii="Montserrat" w:hAnsi="Montserrat"/>
                <w:sz w:val="20"/>
                <w:szCs w:val="20"/>
              </w:rPr>
            </w:pPr>
            <w:r w:rsidRPr="00C953B4">
              <w:rPr>
                <w:rFonts w:ascii="Montserrat" w:hAnsi="Montserrat" w:cs="Calibri"/>
                <w:color w:val="000000"/>
                <w:sz w:val="20"/>
                <w:szCs w:val="20"/>
              </w:rPr>
              <w:t>DIRECCIÓN GENERAL DEL HANGAR OFICIAL DEL GOBIERNO DEL ESTADO</w:t>
            </w:r>
          </w:p>
        </w:tc>
        <w:tc>
          <w:tcPr>
            <w:tcW w:w="1701" w:type="dxa"/>
            <w:tcBorders>
              <w:top w:val="single" w:sz="4" w:space="0" w:color="auto"/>
              <w:left w:val="single" w:sz="4" w:space="0" w:color="auto"/>
              <w:bottom w:val="single" w:sz="4" w:space="0" w:color="auto"/>
              <w:right w:val="single" w:sz="4" w:space="0" w:color="auto"/>
            </w:tcBorders>
            <w:vAlign w:val="center"/>
          </w:tcPr>
          <w:p w14:paraId="4AFC6FAB" w14:textId="48C2E818"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13,798,724.07</w:t>
            </w:r>
          </w:p>
        </w:tc>
        <w:tc>
          <w:tcPr>
            <w:tcW w:w="1985" w:type="dxa"/>
            <w:tcBorders>
              <w:top w:val="single" w:sz="4" w:space="0" w:color="auto"/>
              <w:left w:val="single" w:sz="4" w:space="0" w:color="auto"/>
              <w:bottom w:val="single" w:sz="4" w:space="0" w:color="auto"/>
              <w:right w:val="single" w:sz="4" w:space="0" w:color="auto"/>
            </w:tcBorders>
            <w:vAlign w:val="center"/>
          </w:tcPr>
          <w:p w14:paraId="5154DCD8" w14:textId="784EB323"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114,179,647.84</w:t>
            </w:r>
          </w:p>
        </w:tc>
        <w:tc>
          <w:tcPr>
            <w:tcW w:w="1843" w:type="dxa"/>
            <w:tcBorders>
              <w:top w:val="single" w:sz="4" w:space="0" w:color="auto"/>
              <w:left w:val="single" w:sz="4" w:space="0" w:color="auto"/>
              <w:bottom w:val="single" w:sz="4" w:space="0" w:color="auto"/>
              <w:right w:val="single" w:sz="4" w:space="0" w:color="auto"/>
            </w:tcBorders>
            <w:vAlign w:val="center"/>
          </w:tcPr>
          <w:p w14:paraId="3FA92F9F" w14:textId="7E3B3E6C" w:rsidR="00403C91" w:rsidRPr="00C953B4" w:rsidRDefault="00403C91" w:rsidP="00403C91">
            <w:pPr>
              <w:tabs>
                <w:tab w:val="left" w:pos="7260"/>
              </w:tabs>
              <w:jc w:val="right"/>
              <w:rPr>
                <w:rFonts w:ascii="Montserrat" w:hAnsi="Montserrat"/>
                <w:sz w:val="20"/>
                <w:szCs w:val="20"/>
              </w:rPr>
            </w:pPr>
            <w:r w:rsidRPr="00C953B4">
              <w:rPr>
                <w:rFonts w:ascii="Montserrat" w:hAnsi="Montserrat" w:cs="Calibri"/>
                <w:color w:val="000000"/>
                <w:sz w:val="20"/>
                <w:szCs w:val="20"/>
              </w:rPr>
              <w:t>100,380,923.77</w:t>
            </w:r>
          </w:p>
        </w:tc>
      </w:tr>
      <w:tr w:rsidR="00403C91" w:rsidRPr="00C953B4" w14:paraId="6C49C1DF" w14:textId="77777777" w:rsidTr="004B3002">
        <w:trPr>
          <w:trHeight w:val="465"/>
        </w:trPr>
        <w:tc>
          <w:tcPr>
            <w:tcW w:w="644" w:type="dxa"/>
            <w:tcBorders>
              <w:top w:val="single" w:sz="4" w:space="0" w:color="auto"/>
            </w:tcBorders>
            <w:vAlign w:val="center"/>
            <w:hideMark/>
          </w:tcPr>
          <w:p w14:paraId="78654830" w14:textId="62D3744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573</w:t>
            </w:r>
          </w:p>
        </w:tc>
        <w:tc>
          <w:tcPr>
            <w:tcW w:w="2753" w:type="dxa"/>
            <w:tcBorders>
              <w:top w:val="single" w:sz="4" w:space="0" w:color="auto"/>
            </w:tcBorders>
            <w:vAlign w:val="center"/>
            <w:hideMark/>
          </w:tcPr>
          <w:p w14:paraId="608F4F26" w14:textId="1D7889C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CENTRO DE CONCILIACIÓN LABORAL DEL ESTADO DE OAXACA</w:t>
            </w:r>
          </w:p>
        </w:tc>
        <w:tc>
          <w:tcPr>
            <w:tcW w:w="1701" w:type="dxa"/>
            <w:tcBorders>
              <w:top w:val="single" w:sz="4" w:space="0" w:color="auto"/>
            </w:tcBorders>
            <w:vAlign w:val="center"/>
            <w:hideMark/>
          </w:tcPr>
          <w:p w14:paraId="74DC4C6D" w14:textId="7A6ED70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10,170,448.39</w:t>
            </w:r>
          </w:p>
        </w:tc>
        <w:tc>
          <w:tcPr>
            <w:tcW w:w="1985" w:type="dxa"/>
            <w:tcBorders>
              <w:top w:val="single" w:sz="4" w:space="0" w:color="auto"/>
            </w:tcBorders>
            <w:vAlign w:val="center"/>
            <w:hideMark/>
          </w:tcPr>
          <w:p w14:paraId="426CF9D1" w14:textId="59DDAEA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3,010,339.47</w:t>
            </w:r>
          </w:p>
        </w:tc>
        <w:tc>
          <w:tcPr>
            <w:tcW w:w="1843" w:type="dxa"/>
            <w:tcBorders>
              <w:top w:val="single" w:sz="4" w:space="0" w:color="auto"/>
            </w:tcBorders>
            <w:vAlign w:val="center"/>
            <w:hideMark/>
          </w:tcPr>
          <w:p w14:paraId="69B8A974" w14:textId="2F8FCAA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-7,160,108.92</w:t>
            </w:r>
          </w:p>
        </w:tc>
      </w:tr>
      <w:tr w:rsidR="00403C91" w:rsidRPr="00C953B4" w14:paraId="4F6D0BEF" w14:textId="77777777" w:rsidTr="004B3002">
        <w:trPr>
          <w:trHeight w:val="465"/>
        </w:trPr>
        <w:tc>
          <w:tcPr>
            <w:tcW w:w="644" w:type="dxa"/>
            <w:vAlign w:val="center"/>
            <w:hideMark/>
          </w:tcPr>
          <w:p w14:paraId="649F7614" w14:textId="5DCB675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575</w:t>
            </w:r>
          </w:p>
        </w:tc>
        <w:tc>
          <w:tcPr>
            <w:tcW w:w="2753" w:type="dxa"/>
            <w:vAlign w:val="center"/>
            <w:hideMark/>
          </w:tcPr>
          <w:p w14:paraId="5481D706" w14:textId="1B9C1470"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COMISIÓN EJECUTIVA ESTATAL DE ATENCIÓN INTEGRAL A VÍCTIMAS</w:t>
            </w:r>
          </w:p>
        </w:tc>
        <w:tc>
          <w:tcPr>
            <w:tcW w:w="1701" w:type="dxa"/>
            <w:vAlign w:val="center"/>
            <w:hideMark/>
          </w:tcPr>
          <w:p w14:paraId="1422E164" w14:textId="2D6C0FC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92,852.19</w:t>
            </w:r>
          </w:p>
        </w:tc>
        <w:tc>
          <w:tcPr>
            <w:tcW w:w="1985" w:type="dxa"/>
            <w:vAlign w:val="center"/>
            <w:hideMark/>
          </w:tcPr>
          <w:p w14:paraId="192D7580" w14:textId="0AE1233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92,852.19</w:t>
            </w:r>
          </w:p>
        </w:tc>
        <w:tc>
          <w:tcPr>
            <w:tcW w:w="1843" w:type="dxa"/>
            <w:vAlign w:val="center"/>
            <w:hideMark/>
          </w:tcPr>
          <w:p w14:paraId="00015D83" w14:textId="4749EA3C"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315BC5CB" w14:textId="77777777" w:rsidTr="004B3002">
        <w:trPr>
          <w:trHeight w:val="315"/>
        </w:trPr>
        <w:tc>
          <w:tcPr>
            <w:tcW w:w="644" w:type="dxa"/>
            <w:vAlign w:val="center"/>
            <w:hideMark/>
          </w:tcPr>
          <w:p w14:paraId="256FA326" w14:textId="521684E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576</w:t>
            </w:r>
          </w:p>
        </w:tc>
        <w:tc>
          <w:tcPr>
            <w:tcW w:w="2753" w:type="dxa"/>
            <w:vAlign w:val="center"/>
            <w:hideMark/>
          </w:tcPr>
          <w:p w14:paraId="46D2A98B" w14:textId="7C82EB0B"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ARCHIVO GENERAL DEL ESTADO DE OAXACA</w:t>
            </w:r>
          </w:p>
        </w:tc>
        <w:tc>
          <w:tcPr>
            <w:tcW w:w="1701" w:type="dxa"/>
            <w:vAlign w:val="center"/>
            <w:hideMark/>
          </w:tcPr>
          <w:p w14:paraId="1ABF10F1" w14:textId="5A011689"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c>
          <w:tcPr>
            <w:tcW w:w="1985" w:type="dxa"/>
            <w:vAlign w:val="center"/>
            <w:hideMark/>
          </w:tcPr>
          <w:p w14:paraId="2EF9A00E" w14:textId="4BDF9F8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4,610,573.34</w:t>
            </w:r>
          </w:p>
        </w:tc>
        <w:tc>
          <w:tcPr>
            <w:tcW w:w="1843" w:type="dxa"/>
            <w:vAlign w:val="center"/>
            <w:hideMark/>
          </w:tcPr>
          <w:p w14:paraId="397DFCE6" w14:textId="5BDD197F"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4,610,573.34</w:t>
            </w:r>
          </w:p>
        </w:tc>
      </w:tr>
      <w:tr w:rsidR="00403C91" w:rsidRPr="00C953B4" w14:paraId="309E4675" w14:textId="77777777" w:rsidTr="004B3002">
        <w:trPr>
          <w:trHeight w:val="465"/>
        </w:trPr>
        <w:tc>
          <w:tcPr>
            <w:tcW w:w="644" w:type="dxa"/>
            <w:vAlign w:val="center"/>
            <w:hideMark/>
          </w:tcPr>
          <w:p w14:paraId="28BFC61A" w14:textId="38B2B305"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582</w:t>
            </w:r>
          </w:p>
        </w:tc>
        <w:tc>
          <w:tcPr>
            <w:tcW w:w="2753" w:type="dxa"/>
            <w:vAlign w:val="center"/>
            <w:hideMark/>
          </w:tcPr>
          <w:p w14:paraId="601FA69D" w14:textId="749B0F2E"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COORDINACIÓN PARA LA COMERCIALIZACIÓN DE PRODUCTOS OAXAQUEÑOS</w:t>
            </w:r>
          </w:p>
        </w:tc>
        <w:tc>
          <w:tcPr>
            <w:tcW w:w="1701" w:type="dxa"/>
            <w:vAlign w:val="center"/>
            <w:hideMark/>
          </w:tcPr>
          <w:p w14:paraId="3947C6B4" w14:textId="1EA3374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c>
          <w:tcPr>
            <w:tcW w:w="1985" w:type="dxa"/>
            <w:vAlign w:val="center"/>
            <w:hideMark/>
          </w:tcPr>
          <w:p w14:paraId="119EAFED" w14:textId="1616B713"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2,114,241.63</w:t>
            </w:r>
          </w:p>
        </w:tc>
        <w:tc>
          <w:tcPr>
            <w:tcW w:w="1843" w:type="dxa"/>
            <w:vAlign w:val="center"/>
            <w:hideMark/>
          </w:tcPr>
          <w:p w14:paraId="0FCFC3FC" w14:textId="64296988"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2,114,241.63</w:t>
            </w:r>
          </w:p>
        </w:tc>
      </w:tr>
      <w:tr w:rsidR="00403C91" w:rsidRPr="00C953B4" w14:paraId="4C9BB73B" w14:textId="77777777" w:rsidTr="004B3002">
        <w:trPr>
          <w:trHeight w:val="315"/>
        </w:trPr>
        <w:tc>
          <w:tcPr>
            <w:tcW w:w="644" w:type="dxa"/>
            <w:vAlign w:val="center"/>
            <w:hideMark/>
          </w:tcPr>
          <w:p w14:paraId="4301BAEA" w14:textId="72ED6E47"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601</w:t>
            </w:r>
          </w:p>
        </w:tc>
        <w:tc>
          <w:tcPr>
            <w:tcW w:w="2753" w:type="dxa"/>
            <w:vAlign w:val="center"/>
            <w:hideMark/>
          </w:tcPr>
          <w:p w14:paraId="346C76A1" w14:textId="0D93FDB3"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FIDEICOMISO PARA EL DESARROLLO LOGÍSTICO DEL ESTADO DE OAXACA</w:t>
            </w:r>
          </w:p>
        </w:tc>
        <w:tc>
          <w:tcPr>
            <w:tcW w:w="1701" w:type="dxa"/>
            <w:vAlign w:val="center"/>
            <w:hideMark/>
          </w:tcPr>
          <w:p w14:paraId="400FCD3D" w14:textId="062384F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357,630.60</w:t>
            </w:r>
          </w:p>
        </w:tc>
        <w:tc>
          <w:tcPr>
            <w:tcW w:w="1985" w:type="dxa"/>
            <w:vAlign w:val="center"/>
            <w:hideMark/>
          </w:tcPr>
          <w:p w14:paraId="39417354" w14:textId="745D0CDA"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357,630.60</w:t>
            </w:r>
          </w:p>
        </w:tc>
        <w:tc>
          <w:tcPr>
            <w:tcW w:w="1843" w:type="dxa"/>
            <w:vAlign w:val="center"/>
            <w:hideMark/>
          </w:tcPr>
          <w:p w14:paraId="1EF23303" w14:textId="46430737"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61D69F54" w14:textId="77777777" w:rsidTr="004B3002">
        <w:trPr>
          <w:trHeight w:val="465"/>
        </w:trPr>
        <w:tc>
          <w:tcPr>
            <w:tcW w:w="644" w:type="dxa"/>
            <w:vAlign w:val="center"/>
            <w:hideMark/>
          </w:tcPr>
          <w:p w14:paraId="0CD134AB" w14:textId="73028459"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602</w:t>
            </w:r>
          </w:p>
        </w:tc>
        <w:tc>
          <w:tcPr>
            <w:tcW w:w="2753" w:type="dxa"/>
            <w:vAlign w:val="center"/>
            <w:hideMark/>
          </w:tcPr>
          <w:p w14:paraId="50DE3C9E" w14:textId="7CED893D"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FIDEICOMISO DE FOMENTO PARA EL ESTADO DE OAXACA</w:t>
            </w:r>
          </w:p>
        </w:tc>
        <w:tc>
          <w:tcPr>
            <w:tcW w:w="1701" w:type="dxa"/>
            <w:vAlign w:val="center"/>
            <w:hideMark/>
          </w:tcPr>
          <w:p w14:paraId="78C85196" w14:textId="68B2F4A1"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39,909.08</w:t>
            </w:r>
          </w:p>
        </w:tc>
        <w:tc>
          <w:tcPr>
            <w:tcW w:w="1985" w:type="dxa"/>
            <w:vAlign w:val="center"/>
            <w:hideMark/>
          </w:tcPr>
          <w:p w14:paraId="37EEDFAE" w14:textId="55B3D262"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39,909.08</w:t>
            </w:r>
          </w:p>
        </w:tc>
        <w:tc>
          <w:tcPr>
            <w:tcW w:w="1843" w:type="dxa"/>
            <w:vAlign w:val="center"/>
            <w:hideMark/>
          </w:tcPr>
          <w:p w14:paraId="6207D72C" w14:textId="44104ED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r w:rsidR="00403C91" w:rsidRPr="00C953B4" w14:paraId="5947B26E" w14:textId="77777777" w:rsidTr="004B3002">
        <w:trPr>
          <w:trHeight w:val="315"/>
        </w:trPr>
        <w:tc>
          <w:tcPr>
            <w:tcW w:w="644" w:type="dxa"/>
            <w:vAlign w:val="center"/>
            <w:hideMark/>
          </w:tcPr>
          <w:p w14:paraId="01AB4C63" w14:textId="51244986"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603</w:t>
            </w:r>
          </w:p>
        </w:tc>
        <w:tc>
          <w:tcPr>
            <w:tcW w:w="2753" w:type="dxa"/>
            <w:vAlign w:val="center"/>
            <w:hideMark/>
          </w:tcPr>
          <w:p w14:paraId="239E108A" w14:textId="531AA0F7"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OFICINA DE CONVENCIONES Y VISITANTES DE OAXACA 'OCVOAXACA' (EXTINTO) DECRETO 26-07-2023</w:t>
            </w:r>
          </w:p>
        </w:tc>
        <w:tc>
          <w:tcPr>
            <w:tcW w:w="1701" w:type="dxa"/>
            <w:vAlign w:val="center"/>
            <w:hideMark/>
          </w:tcPr>
          <w:p w14:paraId="01ED35D0" w14:textId="2D6B80D0"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4,866,799.93</w:t>
            </w:r>
          </w:p>
        </w:tc>
        <w:tc>
          <w:tcPr>
            <w:tcW w:w="1985" w:type="dxa"/>
            <w:vAlign w:val="center"/>
            <w:hideMark/>
          </w:tcPr>
          <w:p w14:paraId="04360F1C" w14:textId="07B469A2"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c>
          <w:tcPr>
            <w:tcW w:w="1843" w:type="dxa"/>
            <w:vAlign w:val="center"/>
            <w:hideMark/>
          </w:tcPr>
          <w:p w14:paraId="28EE4E89" w14:textId="072949B6"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-4,866,799.93</w:t>
            </w:r>
          </w:p>
        </w:tc>
      </w:tr>
      <w:tr w:rsidR="00403C91" w:rsidRPr="00C953B4" w14:paraId="06D0B07C" w14:textId="77777777" w:rsidTr="004B3002">
        <w:trPr>
          <w:trHeight w:val="465"/>
        </w:trPr>
        <w:tc>
          <w:tcPr>
            <w:tcW w:w="644" w:type="dxa"/>
            <w:vAlign w:val="center"/>
            <w:hideMark/>
          </w:tcPr>
          <w:p w14:paraId="2E94FA4B" w14:textId="7AE28862"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801</w:t>
            </w:r>
          </w:p>
        </w:tc>
        <w:tc>
          <w:tcPr>
            <w:tcW w:w="2753" w:type="dxa"/>
            <w:vAlign w:val="center"/>
            <w:hideMark/>
          </w:tcPr>
          <w:p w14:paraId="2452E69D" w14:textId="442DF7ED" w:rsidR="00403C91" w:rsidRPr="00C953B4" w:rsidRDefault="00403C91" w:rsidP="00403C91">
            <w:pPr>
              <w:tabs>
                <w:tab w:val="left" w:pos="7260"/>
              </w:tabs>
              <w:rPr>
                <w:rFonts w:ascii="Montserrat" w:eastAsia="Times New Roman" w:hAnsi="Montserrat" w:cs="Arial"/>
                <w:sz w:val="20"/>
                <w:szCs w:val="20"/>
              </w:rPr>
            </w:pPr>
            <w:r w:rsidRPr="00C953B4">
              <w:rPr>
                <w:rFonts w:ascii="Montserrat" w:hAnsi="Montserrat" w:cs="Calibri"/>
                <w:color w:val="000000"/>
                <w:sz w:val="20"/>
                <w:szCs w:val="20"/>
              </w:rPr>
              <w:t>OFICINA DE PENSIONES DEL ESTADO DE OAXACA</w:t>
            </w:r>
          </w:p>
        </w:tc>
        <w:tc>
          <w:tcPr>
            <w:tcW w:w="1701" w:type="dxa"/>
            <w:vAlign w:val="center"/>
            <w:hideMark/>
          </w:tcPr>
          <w:p w14:paraId="1B65E6EF" w14:textId="6919AB5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155,245.02</w:t>
            </w:r>
          </w:p>
        </w:tc>
        <w:tc>
          <w:tcPr>
            <w:tcW w:w="1985" w:type="dxa"/>
            <w:vAlign w:val="center"/>
            <w:hideMark/>
          </w:tcPr>
          <w:p w14:paraId="2F5926C2" w14:textId="5114D7DD"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155,245.02</w:t>
            </w:r>
          </w:p>
        </w:tc>
        <w:tc>
          <w:tcPr>
            <w:tcW w:w="1843" w:type="dxa"/>
            <w:vAlign w:val="center"/>
            <w:hideMark/>
          </w:tcPr>
          <w:p w14:paraId="0A30A258" w14:textId="43111FC5" w:rsidR="00403C91" w:rsidRPr="00C953B4" w:rsidRDefault="00403C91" w:rsidP="00403C91">
            <w:pPr>
              <w:tabs>
                <w:tab w:val="left" w:pos="7260"/>
              </w:tabs>
              <w:jc w:val="right"/>
              <w:rPr>
                <w:rFonts w:ascii="Montserrat" w:eastAsia="Times New Roman" w:hAnsi="Montserrat" w:cs="Arial"/>
                <w:sz w:val="20"/>
                <w:szCs w:val="20"/>
              </w:rPr>
            </w:pPr>
            <w:r w:rsidRPr="00C953B4">
              <w:rPr>
                <w:rFonts w:ascii="Montserrat" w:hAnsi="Montserrat" w:cs="Calibri"/>
                <w:color w:val="000000"/>
                <w:sz w:val="20"/>
                <w:szCs w:val="20"/>
              </w:rPr>
              <w:t>0.00</w:t>
            </w:r>
          </w:p>
        </w:tc>
      </w:tr>
    </w:tbl>
    <w:p w14:paraId="0D734CB2" w14:textId="77777777" w:rsidR="00B0059B" w:rsidRPr="00C953B4" w:rsidRDefault="00B0059B" w:rsidP="00B0059B">
      <w:pPr>
        <w:tabs>
          <w:tab w:val="left" w:pos="7260"/>
        </w:tabs>
        <w:jc w:val="both"/>
        <w:rPr>
          <w:rFonts w:ascii="Montserrat" w:eastAsia="Times New Roman" w:hAnsi="Montserrat" w:cs="Arial"/>
        </w:rPr>
      </w:pPr>
    </w:p>
    <w:p w14:paraId="1B51F626" w14:textId="77777777" w:rsidR="00B0059B" w:rsidRPr="00C953B4" w:rsidRDefault="00B0059B" w:rsidP="00B0059B">
      <w:pPr>
        <w:tabs>
          <w:tab w:val="left" w:pos="7260"/>
        </w:tabs>
        <w:jc w:val="both"/>
        <w:rPr>
          <w:rFonts w:ascii="Montserrat" w:eastAsia="Times New Roman" w:hAnsi="Montserrat" w:cs="Arial"/>
        </w:rPr>
      </w:pPr>
      <w:r w:rsidRPr="00C953B4">
        <w:rPr>
          <w:rFonts w:ascii="Montserrat" w:eastAsia="Times New Roman" w:hAnsi="Montserrat" w:cs="Arial"/>
        </w:rPr>
        <w:fldChar w:fldCharType="begin"/>
      </w:r>
      <w:r w:rsidRPr="00C953B4">
        <w:rPr>
          <w:rFonts w:ascii="Montserrat" w:eastAsia="Times New Roman" w:hAnsi="Montserrat" w:cs="Arial"/>
        </w:rPr>
        <w:instrText xml:space="preserve"> LINK Excel.Sheet.12 "C:\\Users\\Admin\\Documents\\0 CCSC CARS\\CUENTA PÚBLICA Y AVANCE DE GESTIÓN\\CUENTA PÚBLICA 2023\\TRIMESTRE 4\\PATRIMONIO PARAESTATAL - NOTAS.xlsx" SEFIP!F1C1:F72C5 \a \f 5 \h  \* MERGEFORMAT </w:instrText>
      </w:r>
      <w:r w:rsidRPr="00C953B4">
        <w:rPr>
          <w:rFonts w:ascii="Montserrat" w:eastAsia="Times New Roman" w:hAnsi="Montserrat" w:cs="Arial"/>
        </w:rPr>
        <w:fldChar w:fldCharType="separate"/>
      </w:r>
    </w:p>
    <w:p w14:paraId="325CCD19" w14:textId="78E1AAE2" w:rsidR="00B0059B" w:rsidRPr="00C953B4" w:rsidRDefault="00B0059B" w:rsidP="00B0059B">
      <w:pPr>
        <w:tabs>
          <w:tab w:val="left" w:pos="7260"/>
        </w:tabs>
        <w:jc w:val="both"/>
        <w:rPr>
          <w:rFonts w:ascii="Montserrat" w:hAnsi="Montserrat"/>
          <w:b/>
        </w:rPr>
      </w:pPr>
      <w:r w:rsidRPr="00C953B4">
        <w:rPr>
          <w:rFonts w:ascii="Montserrat" w:eastAsia="Times New Roman" w:hAnsi="Montserrat" w:cs="Arial"/>
        </w:rPr>
        <w:lastRenderedPageBreak/>
        <w:fldChar w:fldCharType="end"/>
      </w:r>
      <w:r w:rsidRPr="00C953B4">
        <w:rPr>
          <w:rFonts w:ascii="Montserrat" w:hAnsi="Montserrat"/>
          <w:b/>
        </w:rPr>
        <w:t>Fideicomisos, Mandatos y Análogos.</w:t>
      </w:r>
    </w:p>
    <w:p w14:paraId="2D3501E3" w14:textId="77777777" w:rsidR="00B0059B" w:rsidRPr="00C953B4" w:rsidRDefault="00B0059B" w:rsidP="00B0059B">
      <w:pPr>
        <w:tabs>
          <w:tab w:val="left" w:pos="7260"/>
        </w:tabs>
        <w:jc w:val="both"/>
        <w:rPr>
          <w:rFonts w:ascii="Montserrat" w:hAnsi="Montserrat"/>
          <w:b/>
        </w:rPr>
      </w:pPr>
    </w:p>
    <w:p w14:paraId="65963814" w14:textId="77777777" w:rsidR="00B0059B" w:rsidRPr="00C953B4" w:rsidRDefault="00B0059B" w:rsidP="00B0059B">
      <w:pPr>
        <w:tabs>
          <w:tab w:val="left" w:pos="7260"/>
        </w:tabs>
        <w:jc w:val="both"/>
        <w:rPr>
          <w:rFonts w:ascii="Montserrat" w:eastAsia="Times New Roman" w:hAnsi="Montserrat" w:cs="Arial"/>
        </w:rPr>
      </w:pPr>
      <w:r w:rsidRPr="00C953B4">
        <w:rPr>
          <w:rFonts w:ascii="Montserrat" w:eastAsia="Times New Roman" w:hAnsi="Montserrat" w:cs="Arial"/>
        </w:rPr>
        <w:t>A la fecha el Estado cuenta con 23 Fideicomisos, cuyo detalle se encuentra en el Tomo 1A:</w:t>
      </w:r>
    </w:p>
    <w:p w14:paraId="4EF25691" w14:textId="77777777" w:rsidR="00B0059B" w:rsidRPr="00C953B4" w:rsidRDefault="00B0059B" w:rsidP="00B0059B">
      <w:pPr>
        <w:tabs>
          <w:tab w:val="left" w:pos="7260"/>
        </w:tabs>
        <w:jc w:val="both"/>
        <w:rPr>
          <w:rFonts w:ascii="Montserrat" w:eastAsia="Times New Roman" w:hAnsi="Montserrat" w:cs="Arial"/>
          <w:sz w:val="20"/>
          <w:szCs w:val="20"/>
        </w:rPr>
      </w:pPr>
    </w:p>
    <w:tbl>
      <w:tblPr>
        <w:tblStyle w:val="Tablaconcuadrcula"/>
        <w:tblW w:w="0" w:type="auto"/>
        <w:tblLook w:val="04A0" w:firstRow="1" w:lastRow="0" w:firstColumn="1" w:lastColumn="0" w:noHBand="0" w:noVBand="1"/>
      </w:tblPr>
      <w:tblGrid>
        <w:gridCol w:w="704"/>
        <w:gridCol w:w="1418"/>
        <w:gridCol w:w="2805"/>
        <w:gridCol w:w="2208"/>
        <w:gridCol w:w="1785"/>
      </w:tblGrid>
      <w:tr w:rsidR="00FD2DE6" w:rsidRPr="00C953B4" w14:paraId="1DA7613E" w14:textId="77777777" w:rsidTr="004B3002">
        <w:trPr>
          <w:trHeight w:val="660"/>
          <w:tblHeader/>
        </w:trPr>
        <w:tc>
          <w:tcPr>
            <w:tcW w:w="704" w:type="dxa"/>
            <w:hideMark/>
          </w:tcPr>
          <w:p w14:paraId="63321008" w14:textId="77777777" w:rsidR="007B5ADF" w:rsidRPr="00C953B4" w:rsidRDefault="007B5ADF" w:rsidP="007B5ADF">
            <w:pPr>
              <w:jc w:val="center"/>
              <w:rPr>
                <w:rFonts w:ascii="Montserrat" w:eastAsia="Times New Roman" w:hAnsi="Montserrat" w:cs="Arial"/>
                <w:b/>
                <w:bCs/>
                <w:sz w:val="20"/>
                <w:szCs w:val="20"/>
              </w:rPr>
            </w:pPr>
          </w:p>
          <w:p w14:paraId="763EDA93" w14:textId="3D32DC16" w:rsidR="00A018AA" w:rsidRPr="00C953B4" w:rsidRDefault="00A018AA" w:rsidP="007B5ADF">
            <w:pPr>
              <w:jc w:val="center"/>
              <w:rPr>
                <w:rFonts w:ascii="Montserrat" w:eastAsia="Times New Roman" w:hAnsi="Montserrat" w:cs="Arial"/>
                <w:b/>
                <w:bCs/>
                <w:sz w:val="20"/>
                <w:szCs w:val="20"/>
              </w:rPr>
            </w:pPr>
            <w:r w:rsidRPr="00C953B4">
              <w:rPr>
                <w:rFonts w:ascii="Montserrat" w:eastAsia="Times New Roman" w:hAnsi="Montserrat" w:cs="Arial"/>
                <w:b/>
                <w:bCs/>
                <w:sz w:val="20"/>
                <w:szCs w:val="20"/>
              </w:rPr>
              <w:t>No.</w:t>
            </w:r>
          </w:p>
        </w:tc>
        <w:tc>
          <w:tcPr>
            <w:tcW w:w="1418" w:type="dxa"/>
            <w:hideMark/>
          </w:tcPr>
          <w:p w14:paraId="64542B97" w14:textId="070C3712" w:rsidR="00A018AA" w:rsidRPr="00C953B4" w:rsidRDefault="00A018AA" w:rsidP="007B5ADF">
            <w:pPr>
              <w:jc w:val="center"/>
              <w:rPr>
                <w:rFonts w:ascii="Montserrat" w:eastAsia="Times New Roman" w:hAnsi="Montserrat" w:cs="Arial"/>
                <w:b/>
                <w:bCs/>
                <w:sz w:val="20"/>
                <w:szCs w:val="20"/>
              </w:rPr>
            </w:pPr>
            <w:r w:rsidRPr="00C953B4">
              <w:rPr>
                <w:rFonts w:ascii="Montserrat" w:eastAsia="Times New Roman" w:hAnsi="Montserrat" w:cs="Arial"/>
                <w:b/>
                <w:bCs/>
                <w:sz w:val="20"/>
                <w:szCs w:val="20"/>
              </w:rPr>
              <w:t>NÚM. FIDEICO</w:t>
            </w:r>
            <w:r w:rsidR="001D3D38" w:rsidRPr="00C953B4">
              <w:rPr>
                <w:rFonts w:ascii="Montserrat" w:eastAsia="Times New Roman" w:hAnsi="Montserrat" w:cs="Arial"/>
                <w:b/>
                <w:bCs/>
                <w:sz w:val="20"/>
                <w:szCs w:val="20"/>
              </w:rPr>
              <w:t>-</w:t>
            </w:r>
            <w:r w:rsidRPr="00C953B4">
              <w:rPr>
                <w:rFonts w:ascii="Montserrat" w:eastAsia="Times New Roman" w:hAnsi="Montserrat" w:cs="Arial"/>
                <w:b/>
                <w:bCs/>
                <w:sz w:val="20"/>
                <w:szCs w:val="20"/>
              </w:rPr>
              <w:t>MISO</w:t>
            </w:r>
          </w:p>
        </w:tc>
        <w:tc>
          <w:tcPr>
            <w:tcW w:w="3068" w:type="dxa"/>
            <w:hideMark/>
          </w:tcPr>
          <w:p w14:paraId="57FAF0C2" w14:textId="77777777" w:rsidR="007B5ADF" w:rsidRPr="00C953B4" w:rsidRDefault="007B5ADF" w:rsidP="007B5ADF">
            <w:pPr>
              <w:jc w:val="center"/>
              <w:rPr>
                <w:rFonts w:ascii="Montserrat" w:eastAsia="Times New Roman" w:hAnsi="Montserrat" w:cs="Arial"/>
                <w:b/>
                <w:bCs/>
                <w:sz w:val="20"/>
                <w:szCs w:val="20"/>
              </w:rPr>
            </w:pPr>
          </w:p>
          <w:p w14:paraId="0C19392B" w14:textId="412C3506" w:rsidR="00A018AA" w:rsidRPr="00C953B4" w:rsidRDefault="00A018AA" w:rsidP="007B5ADF">
            <w:pPr>
              <w:jc w:val="center"/>
              <w:rPr>
                <w:rFonts w:ascii="Montserrat" w:eastAsia="Times New Roman" w:hAnsi="Montserrat" w:cs="Arial"/>
                <w:b/>
                <w:bCs/>
                <w:sz w:val="20"/>
                <w:szCs w:val="20"/>
              </w:rPr>
            </w:pPr>
            <w:r w:rsidRPr="00C953B4">
              <w:rPr>
                <w:rFonts w:ascii="Montserrat" w:eastAsia="Times New Roman" w:hAnsi="Montserrat" w:cs="Arial"/>
                <w:b/>
                <w:bCs/>
                <w:sz w:val="20"/>
                <w:szCs w:val="20"/>
              </w:rPr>
              <w:t>NOMBRE FIDEICOMISO</w:t>
            </w:r>
          </w:p>
        </w:tc>
        <w:tc>
          <w:tcPr>
            <w:tcW w:w="1955" w:type="dxa"/>
            <w:hideMark/>
          </w:tcPr>
          <w:p w14:paraId="1BB44887" w14:textId="77777777" w:rsidR="007B5ADF" w:rsidRPr="00C953B4" w:rsidRDefault="007B5ADF" w:rsidP="007B5ADF">
            <w:pPr>
              <w:jc w:val="center"/>
              <w:rPr>
                <w:rFonts w:ascii="Montserrat" w:eastAsia="Times New Roman" w:hAnsi="Montserrat" w:cs="Arial"/>
                <w:b/>
                <w:bCs/>
                <w:sz w:val="20"/>
                <w:szCs w:val="20"/>
              </w:rPr>
            </w:pPr>
          </w:p>
          <w:p w14:paraId="3EB2DD05" w14:textId="50F32A8D" w:rsidR="00A018AA" w:rsidRPr="00C953B4" w:rsidRDefault="00A018AA" w:rsidP="007B5ADF">
            <w:pPr>
              <w:jc w:val="center"/>
              <w:rPr>
                <w:rFonts w:ascii="Montserrat" w:eastAsia="Times New Roman" w:hAnsi="Montserrat" w:cs="Arial"/>
                <w:b/>
                <w:bCs/>
                <w:sz w:val="20"/>
                <w:szCs w:val="20"/>
              </w:rPr>
            </w:pPr>
            <w:r w:rsidRPr="00C953B4">
              <w:rPr>
                <w:rFonts w:ascii="Montserrat" w:eastAsia="Times New Roman" w:hAnsi="Montserrat" w:cs="Arial"/>
                <w:b/>
                <w:bCs/>
                <w:sz w:val="20"/>
                <w:szCs w:val="20"/>
              </w:rPr>
              <w:t>TIPO</w:t>
            </w:r>
          </w:p>
        </w:tc>
        <w:tc>
          <w:tcPr>
            <w:tcW w:w="1775" w:type="dxa"/>
            <w:vAlign w:val="center"/>
            <w:hideMark/>
          </w:tcPr>
          <w:p w14:paraId="6ED5DDB5" w14:textId="6E4F2CB2" w:rsidR="00A018AA" w:rsidRPr="00C953B4" w:rsidRDefault="00A018AA" w:rsidP="004B3002">
            <w:pPr>
              <w:jc w:val="center"/>
              <w:rPr>
                <w:rFonts w:ascii="Montserrat" w:eastAsia="Times New Roman" w:hAnsi="Montserrat" w:cs="Arial"/>
                <w:b/>
                <w:bCs/>
                <w:sz w:val="20"/>
                <w:szCs w:val="20"/>
              </w:rPr>
            </w:pPr>
            <w:r w:rsidRPr="00C953B4">
              <w:rPr>
                <w:rFonts w:ascii="Montserrat" w:eastAsia="Times New Roman" w:hAnsi="Montserrat" w:cs="Arial"/>
                <w:b/>
                <w:bCs/>
                <w:sz w:val="20"/>
                <w:szCs w:val="20"/>
              </w:rPr>
              <w:t>SALDO</w:t>
            </w:r>
          </w:p>
        </w:tc>
      </w:tr>
      <w:tr w:rsidR="003237FF" w:rsidRPr="00C953B4" w14:paraId="42A97227" w14:textId="77777777" w:rsidTr="004B3002">
        <w:trPr>
          <w:trHeight w:val="465"/>
        </w:trPr>
        <w:tc>
          <w:tcPr>
            <w:tcW w:w="704" w:type="dxa"/>
            <w:noWrap/>
            <w:vAlign w:val="center"/>
            <w:hideMark/>
          </w:tcPr>
          <w:p w14:paraId="394A3DFF"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w:t>
            </w:r>
          </w:p>
        </w:tc>
        <w:tc>
          <w:tcPr>
            <w:tcW w:w="1418" w:type="dxa"/>
            <w:noWrap/>
            <w:vAlign w:val="center"/>
            <w:hideMark/>
          </w:tcPr>
          <w:p w14:paraId="70393B7F" w14:textId="32377130"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6259</w:t>
            </w:r>
          </w:p>
        </w:tc>
        <w:tc>
          <w:tcPr>
            <w:tcW w:w="3068" w:type="dxa"/>
            <w:vAlign w:val="center"/>
            <w:hideMark/>
          </w:tcPr>
          <w:p w14:paraId="5EAC6B80" w14:textId="1380A9CA"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FIDEICOMISO "ALIANZA PARA EL CAMPO DE OAXACA" (FAPCO)      </w:t>
            </w:r>
          </w:p>
        </w:tc>
        <w:tc>
          <w:tcPr>
            <w:tcW w:w="1955" w:type="dxa"/>
            <w:vAlign w:val="center"/>
            <w:hideMark/>
          </w:tcPr>
          <w:p w14:paraId="17A4EACA" w14:textId="41579095"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INVERSIÓN Y ADMINISTRACIÓN </w:t>
            </w:r>
          </w:p>
        </w:tc>
        <w:tc>
          <w:tcPr>
            <w:tcW w:w="1775" w:type="dxa"/>
            <w:noWrap/>
            <w:vAlign w:val="center"/>
            <w:hideMark/>
          </w:tcPr>
          <w:p w14:paraId="2CD00054" w14:textId="1133563A"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20,166,663.90 </w:t>
            </w:r>
          </w:p>
        </w:tc>
      </w:tr>
      <w:tr w:rsidR="003237FF" w:rsidRPr="00C953B4" w14:paraId="4A2E450B" w14:textId="77777777" w:rsidTr="004B3002">
        <w:trPr>
          <w:trHeight w:val="465"/>
        </w:trPr>
        <w:tc>
          <w:tcPr>
            <w:tcW w:w="704" w:type="dxa"/>
            <w:noWrap/>
            <w:vAlign w:val="center"/>
            <w:hideMark/>
          </w:tcPr>
          <w:p w14:paraId="798D21A0"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2</w:t>
            </w:r>
          </w:p>
        </w:tc>
        <w:tc>
          <w:tcPr>
            <w:tcW w:w="1418" w:type="dxa"/>
            <w:noWrap/>
            <w:vAlign w:val="center"/>
            <w:hideMark/>
          </w:tcPr>
          <w:p w14:paraId="364FE0B3" w14:textId="335D2612"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360293021</w:t>
            </w:r>
          </w:p>
        </w:tc>
        <w:tc>
          <w:tcPr>
            <w:tcW w:w="3068" w:type="dxa"/>
            <w:vAlign w:val="center"/>
            <w:hideMark/>
          </w:tcPr>
          <w:p w14:paraId="316C0A52" w14:textId="31E24B1A"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"MENORES DE SANTIAGO XOCHILTEPEC"</w:t>
            </w:r>
          </w:p>
        </w:tc>
        <w:tc>
          <w:tcPr>
            <w:tcW w:w="1955" w:type="dxa"/>
            <w:vAlign w:val="center"/>
            <w:hideMark/>
          </w:tcPr>
          <w:p w14:paraId="18D4B6B8" w14:textId="1A9C2A56"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ADMINISTRACIÓN E INVERSIÓN </w:t>
            </w:r>
          </w:p>
        </w:tc>
        <w:tc>
          <w:tcPr>
            <w:tcW w:w="1775" w:type="dxa"/>
            <w:noWrap/>
            <w:vAlign w:val="center"/>
            <w:hideMark/>
          </w:tcPr>
          <w:p w14:paraId="33727CE6" w14:textId="4756857F"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552,642.56 </w:t>
            </w:r>
          </w:p>
        </w:tc>
      </w:tr>
      <w:tr w:rsidR="003237FF" w:rsidRPr="00C953B4" w14:paraId="44A3AECD" w14:textId="77777777" w:rsidTr="004B3002">
        <w:trPr>
          <w:trHeight w:val="690"/>
        </w:trPr>
        <w:tc>
          <w:tcPr>
            <w:tcW w:w="704" w:type="dxa"/>
            <w:noWrap/>
            <w:vAlign w:val="center"/>
            <w:hideMark/>
          </w:tcPr>
          <w:p w14:paraId="6C1B8764"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3</w:t>
            </w:r>
          </w:p>
        </w:tc>
        <w:tc>
          <w:tcPr>
            <w:tcW w:w="1418" w:type="dxa"/>
            <w:noWrap/>
            <w:vAlign w:val="center"/>
            <w:hideMark/>
          </w:tcPr>
          <w:p w14:paraId="772603B5" w14:textId="4E88FB49"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11600</w:t>
            </w:r>
          </w:p>
        </w:tc>
        <w:tc>
          <w:tcPr>
            <w:tcW w:w="3068" w:type="dxa"/>
            <w:vAlign w:val="center"/>
            <w:hideMark/>
          </w:tcPr>
          <w:p w14:paraId="086924AD" w14:textId="0C463CB3"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CONTRATO DE FIDEICOMISO IRREVOCABLE DE ADMINISTRACIÓN Y PAGO </w:t>
            </w:r>
          </w:p>
        </w:tc>
        <w:tc>
          <w:tcPr>
            <w:tcW w:w="1955" w:type="dxa"/>
            <w:vAlign w:val="center"/>
            <w:hideMark/>
          </w:tcPr>
          <w:p w14:paraId="44B0C64E" w14:textId="1718F8D1"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IRREVOCABLE DE ADMINISTRACIÓN Y PAGO</w:t>
            </w:r>
          </w:p>
        </w:tc>
        <w:tc>
          <w:tcPr>
            <w:tcW w:w="1775" w:type="dxa"/>
            <w:noWrap/>
            <w:vAlign w:val="center"/>
            <w:hideMark/>
          </w:tcPr>
          <w:p w14:paraId="4CB486C9" w14:textId="1BC752E3"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33.76 </w:t>
            </w:r>
          </w:p>
        </w:tc>
      </w:tr>
      <w:tr w:rsidR="003237FF" w:rsidRPr="00C953B4" w14:paraId="2AD177E3" w14:textId="77777777" w:rsidTr="004B3002">
        <w:trPr>
          <w:trHeight w:val="915"/>
        </w:trPr>
        <w:tc>
          <w:tcPr>
            <w:tcW w:w="704" w:type="dxa"/>
            <w:noWrap/>
            <w:vAlign w:val="center"/>
            <w:hideMark/>
          </w:tcPr>
          <w:p w14:paraId="5675C9E2"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4</w:t>
            </w:r>
          </w:p>
        </w:tc>
        <w:tc>
          <w:tcPr>
            <w:tcW w:w="1418" w:type="dxa"/>
            <w:noWrap/>
            <w:vAlign w:val="center"/>
            <w:hideMark/>
          </w:tcPr>
          <w:p w14:paraId="7FCED404" w14:textId="110BF8D4"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17556</w:t>
            </w:r>
          </w:p>
        </w:tc>
        <w:tc>
          <w:tcPr>
            <w:tcW w:w="3068" w:type="dxa"/>
            <w:vAlign w:val="center"/>
            <w:hideMark/>
          </w:tcPr>
          <w:p w14:paraId="3CA89364" w14:textId="53DD0BB9"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FIDEICOMISOS IRREVOCABLE DE ADMINISTRACIÓN E INVERSIÓN (POLICÍAS ACAECIDOS EN CUMPLIMIENTO DE SU DEBER)</w:t>
            </w:r>
          </w:p>
        </w:tc>
        <w:tc>
          <w:tcPr>
            <w:tcW w:w="1955" w:type="dxa"/>
            <w:vAlign w:val="center"/>
            <w:hideMark/>
          </w:tcPr>
          <w:p w14:paraId="2A2B3992" w14:textId="3C817116"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IRREVOCABLE DE ADMINISTRACIÓN E INVERSIÓN </w:t>
            </w:r>
          </w:p>
        </w:tc>
        <w:tc>
          <w:tcPr>
            <w:tcW w:w="1775" w:type="dxa"/>
            <w:noWrap/>
            <w:vAlign w:val="center"/>
            <w:hideMark/>
          </w:tcPr>
          <w:p w14:paraId="574C7280" w14:textId="33C287A4"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575,305.90 </w:t>
            </w:r>
          </w:p>
        </w:tc>
      </w:tr>
      <w:tr w:rsidR="003237FF" w:rsidRPr="00C953B4" w14:paraId="32ED41F4" w14:textId="77777777" w:rsidTr="004B3002">
        <w:trPr>
          <w:trHeight w:val="915"/>
        </w:trPr>
        <w:tc>
          <w:tcPr>
            <w:tcW w:w="704" w:type="dxa"/>
            <w:noWrap/>
            <w:vAlign w:val="center"/>
            <w:hideMark/>
          </w:tcPr>
          <w:p w14:paraId="40F0FBB5"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5</w:t>
            </w:r>
          </w:p>
        </w:tc>
        <w:tc>
          <w:tcPr>
            <w:tcW w:w="1418" w:type="dxa"/>
            <w:noWrap/>
            <w:vAlign w:val="center"/>
            <w:hideMark/>
          </w:tcPr>
          <w:p w14:paraId="77F52A17" w14:textId="00A0AEAB"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80678</w:t>
            </w:r>
          </w:p>
        </w:tc>
        <w:tc>
          <w:tcPr>
            <w:tcW w:w="3068" w:type="dxa"/>
            <w:vAlign w:val="center"/>
            <w:hideMark/>
          </w:tcPr>
          <w:p w14:paraId="135C9E4F" w14:textId="17A793C7"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PARA EL DESARROLLO LOGÍSTICO DEL ESTADO DE OAXACA / FIDELO</w:t>
            </w:r>
          </w:p>
        </w:tc>
        <w:tc>
          <w:tcPr>
            <w:tcW w:w="1955" w:type="dxa"/>
            <w:vAlign w:val="center"/>
            <w:hideMark/>
          </w:tcPr>
          <w:p w14:paraId="6331EA2E" w14:textId="2E500918"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IRREVOCABLE TRASLATIVO DE DOMINIO Y DE ADMINISTRACIÓN</w:t>
            </w:r>
          </w:p>
        </w:tc>
        <w:tc>
          <w:tcPr>
            <w:tcW w:w="1775" w:type="dxa"/>
            <w:noWrap/>
            <w:vAlign w:val="center"/>
            <w:hideMark/>
          </w:tcPr>
          <w:p w14:paraId="0CF1CA5E" w14:textId="1D9D6E0A"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20,583,064.46 </w:t>
            </w:r>
          </w:p>
        </w:tc>
      </w:tr>
      <w:tr w:rsidR="003237FF" w:rsidRPr="00C953B4" w14:paraId="2542CCAF" w14:textId="77777777" w:rsidTr="004B3002">
        <w:trPr>
          <w:trHeight w:val="690"/>
        </w:trPr>
        <w:tc>
          <w:tcPr>
            <w:tcW w:w="704" w:type="dxa"/>
            <w:noWrap/>
            <w:vAlign w:val="center"/>
            <w:hideMark/>
          </w:tcPr>
          <w:p w14:paraId="53080442"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6</w:t>
            </w:r>
          </w:p>
        </w:tc>
        <w:tc>
          <w:tcPr>
            <w:tcW w:w="1418" w:type="dxa"/>
            <w:noWrap/>
            <w:vAlign w:val="center"/>
            <w:hideMark/>
          </w:tcPr>
          <w:p w14:paraId="759830EA" w14:textId="1C59F245"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2050</w:t>
            </w:r>
          </w:p>
        </w:tc>
        <w:tc>
          <w:tcPr>
            <w:tcW w:w="3068" w:type="dxa"/>
            <w:vAlign w:val="center"/>
            <w:hideMark/>
          </w:tcPr>
          <w:p w14:paraId="6A997226" w14:textId="1A0B1EB8"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PARA EL DESARROLLO REGIONAL SUR SURESTE (FIDESUR)</w:t>
            </w:r>
          </w:p>
        </w:tc>
        <w:tc>
          <w:tcPr>
            <w:tcW w:w="1955" w:type="dxa"/>
            <w:vAlign w:val="center"/>
            <w:hideMark/>
          </w:tcPr>
          <w:p w14:paraId="1BBD0070" w14:textId="7C63DE71"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INVERSIÓN                                                  Y FUENTE DE PAGO</w:t>
            </w:r>
          </w:p>
        </w:tc>
        <w:tc>
          <w:tcPr>
            <w:tcW w:w="1775" w:type="dxa"/>
            <w:noWrap/>
            <w:vAlign w:val="center"/>
            <w:hideMark/>
          </w:tcPr>
          <w:p w14:paraId="3CC679FE" w14:textId="6C893E53"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2,833,213.80 </w:t>
            </w:r>
          </w:p>
        </w:tc>
      </w:tr>
      <w:tr w:rsidR="003237FF" w:rsidRPr="00C953B4" w14:paraId="64C2BC14" w14:textId="77777777" w:rsidTr="004B3002">
        <w:trPr>
          <w:trHeight w:val="690"/>
        </w:trPr>
        <w:tc>
          <w:tcPr>
            <w:tcW w:w="704" w:type="dxa"/>
            <w:noWrap/>
            <w:vAlign w:val="center"/>
            <w:hideMark/>
          </w:tcPr>
          <w:p w14:paraId="0EB30D06"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7</w:t>
            </w:r>
          </w:p>
        </w:tc>
        <w:tc>
          <w:tcPr>
            <w:tcW w:w="1418" w:type="dxa"/>
            <w:noWrap/>
            <w:vAlign w:val="center"/>
            <w:hideMark/>
          </w:tcPr>
          <w:p w14:paraId="0607628B" w14:textId="052F8204"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5868</w:t>
            </w:r>
          </w:p>
        </w:tc>
        <w:tc>
          <w:tcPr>
            <w:tcW w:w="3068" w:type="dxa"/>
            <w:vAlign w:val="center"/>
            <w:hideMark/>
          </w:tcPr>
          <w:p w14:paraId="645C2D49" w14:textId="0B1E4F70"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DE FONDO DE VIVIENDA MAGISTERIAL (FIPROVIM)</w:t>
            </w:r>
          </w:p>
        </w:tc>
        <w:tc>
          <w:tcPr>
            <w:tcW w:w="1955" w:type="dxa"/>
            <w:vAlign w:val="center"/>
            <w:hideMark/>
          </w:tcPr>
          <w:p w14:paraId="3F422B9A" w14:textId="6391F5EF"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ADMINISTRACIÓN</w:t>
            </w:r>
          </w:p>
        </w:tc>
        <w:tc>
          <w:tcPr>
            <w:tcW w:w="1775" w:type="dxa"/>
            <w:noWrap/>
            <w:vAlign w:val="center"/>
            <w:hideMark/>
          </w:tcPr>
          <w:p w14:paraId="688F83DE" w14:textId="71D1F02C"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70,327,045.20 </w:t>
            </w:r>
          </w:p>
        </w:tc>
      </w:tr>
      <w:tr w:rsidR="003237FF" w:rsidRPr="00C953B4" w14:paraId="6B5F6CAE" w14:textId="77777777" w:rsidTr="004B3002">
        <w:trPr>
          <w:trHeight w:val="915"/>
        </w:trPr>
        <w:tc>
          <w:tcPr>
            <w:tcW w:w="704" w:type="dxa"/>
            <w:noWrap/>
            <w:vAlign w:val="center"/>
            <w:hideMark/>
          </w:tcPr>
          <w:p w14:paraId="1DB642B4"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8</w:t>
            </w:r>
          </w:p>
        </w:tc>
        <w:tc>
          <w:tcPr>
            <w:tcW w:w="1418" w:type="dxa"/>
            <w:noWrap/>
            <w:vAlign w:val="center"/>
            <w:hideMark/>
          </w:tcPr>
          <w:p w14:paraId="7429BB65" w14:textId="46D5DF07"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360314033</w:t>
            </w:r>
          </w:p>
        </w:tc>
        <w:tc>
          <w:tcPr>
            <w:tcW w:w="3068" w:type="dxa"/>
            <w:vAlign w:val="center"/>
            <w:hideMark/>
          </w:tcPr>
          <w:p w14:paraId="000700E4" w14:textId="6445817D"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"FONDO DE GARANTÍA PARA LAS EMPRESAS DE SOLIDARIDAD DEL ESTADO DE OAXACA (FOGAROAX)"</w:t>
            </w:r>
          </w:p>
        </w:tc>
        <w:tc>
          <w:tcPr>
            <w:tcW w:w="1955" w:type="dxa"/>
            <w:vAlign w:val="center"/>
            <w:hideMark/>
          </w:tcPr>
          <w:p w14:paraId="27B9CD39" w14:textId="6F90F204"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INVERSIÓN Y GARANTÍA</w:t>
            </w:r>
            <w:r w:rsidRPr="00C953B4">
              <w:rPr>
                <w:rFonts w:ascii="Montserrat" w:hAnsi="Montserrat" w:cs="Calibri"/>
                <w:color w:val="000000"/>
                <w:sz w:val="20"/>
                <w:szCs w:val="20"/>
              </w:rPr>
              <w:br/>
              <w:t>COMPLEMENTARIA</w:t>
            </w:r>
          </w:p>
        </w:tc>
        <w:tc>
          <w:tcPr>
            <w:tcW w:w="1775" w:type="dxa"/>
            <w:noWrap/>
            <w:vAlign w:val="center"/>
            <w:hideMark/>
          </w:tcPr>
          <w:p w14:paraId="1E02C57F" w14:textId="18E0A846"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23,207,222.71 </w:t>
            </w:r>
          </w:p>
        </w:tc>
      </w:tr>
      <w:tr w:rsidR="003237FF" w:rsidRPr="00C953B4" w14:paraId="53E5046C" w14:textId="77777777" w:rsidTr="004B3002">
        <w:trPr>
          <w:trHeight w:val="1140"/>
        </w:trPr>
        <w:tc>
          <w:tcPr>
            <w:tcW w:w="704" w:type="dxa"/>
            <w:noWrap/>
            <w:vAlign w:val="center"/>
            <w:hideMark/>
          </w:tcPr>
          <w:p w14:paraId="46D93D5B"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lastRenderedPageBreak/>
              <w:t>9</w:t>
            </w:r>
          </w:p>
        </w:tc>
        <w:tc>
          <w:tcPr>
            <w:tcW w:w="1418" w:type="dxa"/>
            <w:noWrap/>
            <w:vAlign w:val="center"/>
            <w:hideMark/>
          </w:tcPr>
          <w:p w14:paraId="1713A680" w14:textId="20198E9A"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28445-5</w:t>
            </w:r>
          </w:p>
        </w:tc>
        <w:tc>
          <w:tcPr>
            <w:tcW w:w="3068" w:type="dxa"/>
            <w:vAlign w:val="center"/>
            <w:hideMark/>
          </w:tcPr>
          <w:p w14:paraId="67E73931" w14:textId="4D94E6FD"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PARA EL PROGRAMA ESPECIAL DE FINANCIAMIENTO A LA VIVIENDA PARA EL MAGISTERIO DEL ESTADO DE OAXACA (FOVIMOAX)</w:t>
            </w:r>
          </w:p>
        </w:tc>
        <w:tc>
          <w:tcPr>
            <w:tcW w:w="1955" w:type="dxa"/>
            <w:vAlign w:val="center"/>
            <w:hideMark/>
          </w:tcPr>
          <w:p w14:paraId="2C89EB96" w14:textId="772C0574"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INVERSIÓN Y ADMINISTRACIÓN</w:t>
            </w:r>
          </w:p>
        </w:tc>
        <w:tc>
          <w:tcPr>
            <w:tcW w:w="1775" w:type="dxa"/>
            <w:noWrap/>
            <w:vAlign w:val="center"/>
            <w:hideMark/>
          </w:tcPr>
          <w:p w14:paraId="421FAAB7" w14:textId="431052CE"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62,634,462.60 </w:t>
            </w:r>
          </w:p>
        </w:tc>
      </w:tr>
      <w:tr w:rsidR="003237FF" w:rsidRPr="00C953B4" w14:paraId="1E595018" w14:textId="77777777" w:rsidTr="004B3002">
        <w:trPr>
          <w:trHeight w:val="690"/>
        </w:trPr>
        <w:tc>
          <w:tcPr>
            <w:tcW w:w="704" w:type="dxa"/>
            <w:noWrap/>
            <w:vAlign w:val="center"/>
            <w:hideMark/>
          </w:tcPr>
          <w:p w14:paraId="13E78A30"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10</w:t>
            </w:r>
          </w:p>
        </w:tc>
        <w:tc>
          <w:tcPr>
            <w:tcW w:w="1418" w:type="dxa"/>
            <w:noWrap/>
            <w:vAlign w:val="center"/>
            <w:hideMark/>
          </w:tcPr>
          <w:p w14:paraId="34AD1CF1" w14:textId="571DD643"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80697</w:t>
            </w:r>
          </w:p>
        </w:tc>
        <w:tc>
          <w:tcPr>
            <w:tcW w:w="3068" w:type="dxa"/>
            <w:vAlign w:val="center"/>
            <w:hideMark/>
          </w:tcPr>
          <w:p w14:paraId="703C2AA8" w14:textId="73A6E257"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"OFICINA DE CONVENCIONES Y VISITANTES DE OAXACA, OCV OAXACA (OCV)"</w:t>
            </w:r>
          </w:p>
        </w:tc>
        <w:tc>
          <w:tcPr>
            <w:tcW w:w="1955" w:type="dxa"/>
            <w:vAlign w:val="center"/>
            <w:hideMark/>
          </w:tcPr>
          <w:p w14:paraId="4F3D5874" w14:textId="7062DEC1"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ENTIDAD PARAESTATAL</w:t>
            </w:r>
          </w:p>
        </w:tc>
        <w:tc>
          <w:tcPr>
            <w:tcW w:w="1775" w:type="dxa"/>
            <w:noWrap/>
            <w:vAlign w:val="center"/>
            <w:hideMark/>
          </w:tcPr>
          <w:p w14:paraId="7F7749DB" w14:textId="10A8562D"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611,063.67 </w:t>
            </w:r>
          </w:p>
        </w:tc>
      </w:tr>
      <w:tr w:rsidR="003237FF" w:rsidRPr="00C953B4" w14:paraId="76EFA95A" w14:textId="77777777" w:rsidTr="004B3002">
        <w:trPr>
          <w:trHeight w:val="465"/>
        </w:trPr>
        <w:tc>
          <w:tcPr>
            <w:tcW w:w="704" w:type="dxa"/>
            <w:noWrap/>
            <w:vAlign w:val="center"/>
            <w:hideMark/>
          </w:tcPr>
          <w:p w14:paraId="6362742B"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11</w:t>
            </w:r>
          </w:p>
        </w:tc>
        <w:tc>
          <w:tcPr>
            <w:tcW w:w="1418" w:type="dxa"/>
            <w:noWrap/>
            <w:vAlign w:val="center"/>
            <w:hideMark/>
          </w:tcPr>
          <w:p w14:paraId="530F9273" w14:textId="5CFBFD2C"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80736</w:t>
            </w:r>
          </w:p>
        </w:tc>
        <w:tc>
          <w:tcPr>
            <w:tcW w:w="3068" w:type="dxa"/>
            <w:vAlign w:val="center"/>
            <w:hideMark/>
          </w:tcPr>
          <w:p w14:paraId="17723726" w14:textId="245CEE8A"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FIDEICOMISO DE FOMENTO PARA EL ESTADO DE OAXACA    FIFEO      </w:t>
            </w:r>
          </w:p>
        </w:tc>
        <w:tc>
          <w:tcPr>
            <w:tcW w:w="1955" w:type="dxa"/>
            <w:vAlign w:val="center"/>
            <w:hideMark/>
          </w:tcPr>
          <w:p w14:paraId="13BA5977" w14:textId="2884C8BF"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ENTIDAD PARAESTATAL</w:t>
            </w:r>
          </w:p>
        </w:tc>
        <w:tc>
          <w:tcPr>
            <w:tcW w:w="1775" w:type="dxa"/>
            <w:noWrap/>
            <w:vAlign w:val="center"/>
            <w:hideMark/>
          </w:tcPr>
          <w:p w14:paraId="6F06E798" w14:textId="2EA6FB08"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54,247,199.55 </w:t>
            </w:r>
          </w:p>
        </w:tc>
      </w:tr>
      <w:tr w:rsidR="003237FF" w:rsidRPr="00C953B4" w14:paraId="36EDBF49" w14:textId="77777777" w:rsidTr="004B3002">
        <w:trPr>
          <w:trHeight w:val="528"/>
        </w:trPr>
        <w:tc>
          <w:tcPr>
            <w:tcW w:w="704" w:type="dxa"/>
            <w:noWrap/>
            <w:vAlign w:val="center"/>
            <w:hideMark/>
          </w:tcPr>
          <w:p w14:paraId="6340DAB4"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12</w:t>
            </w:r>
          </w:p>
        </w:tc>
        <w:tc>
          <w:tcPr>
            <w:tcW w:w="1418" w:type="dxa"/>
            <w:noWrap/>
            <w:vAlign w:val="center"/>
            <w:hideMark/>
          </w:tcPr>
          <w:p w14:paraId="4A1312B7" w14:textId="307916F3"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2003410-1</w:t>
            </w:r>
          </w:p>
        </w:tc>
        <w:tc>
          <w:tcPr>
            <w:tcW w:w="3068" w:type="dxa"/>
            <w:vAlign w:val="center"/>
            <w:hideMark/>
          </w:tcPr>
          <w:p w14:paraId="58C1E2D3" w14:textId="2A622A71"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FONDO DE PENSIONES PARA LOS INTEGRANTES DE LAS INSTITUCIONES POLICIALES DE LA SECRETARÍA DE SEGURIDAD PÚBLICA DEL ESTADO DE OAXACA</w:t>
            </w:r>
          </w:p>
        </w:tc>
        <w:tc>
          <w:tcPr>
            <w:tcW w:w="1955" w:type="dxa"/>
            <w:vAlign w:val="center"/>
            <w:hideMark/>
          </w:tcPr>
          <w:p w14:paraId="2127AB85" w14:textId="76164663"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ADMINISTRACIÓN, INVERSIÓN Y PAGO </w:t>
            </w:r>
          </w:p>
        </w:tc>
        <w:tc>
          <w:tcPr>
            <w:tcW w:w="1775" w:type="dxa"/>
            <w:noWrap/>
            <w:vAlign w:val="center"/>
            <w:hideMark/>
          </w:tcPr>
          <w:p w14:paraId="35FF4308" w14:textId="77777777" w:rsidR="004B3002" w:rsidRPr="004B3002" w:rsidRDefault="004B3002" w:rsidP="004B3002">
            <w:pPr>
              <w:jc w:val="right"/>
              <w:rPr>
                <w:rFonts w:ascii="Montserrat" w:hAnsi="Montserrat" w:cs="Calibri"/>
                <w:color w:val="000000"/>
                <w:sz w:val="20"/>
                <w:szCs w:val="20"/>
              </w:rPr>
            </w:pPr>
            <w:r w:rsidRPr="004B3002">
              <w:rPr>
                <w:rFonts w:ascii="Montserrat" w:hAnsi="Montserrat" w:cs="Calibri"/>
                <w:color w:val="000000"/>
                <w:sz w:val="20"/>
                <w:szCs w:val="20"/>
              </w:rPr>
              <w:t xml:space="preserve">           63,090,942.09 </w:t>
            </w:r>
          </w:p>
          <w:p w14:paraId="09EBD241" w14:textId="64BA88FA" w:rsidR="003237FF" w:rsidRPr="004B3002" w:rsidRDefault="003237FF" w:rsidP="004B3002">
            <w:pPr>
              <w:jc w:val="right"/>
              <w:rPr>
                <w:rFonts w:ascii="Montserrat" w:hAnsi="Montserrat" w:cs="Calibri"/>
                <w:color w:val="000000"/>
                <w:sz w:val="20"/>
                <w:szCs w:val="20"/>
              </w:rPr>
            </w:pPr>
          </w:p>
        </w:tc>
      </w:tr>
      <w:tr w:rsidR="003237FF" w:rsidRPr="00C953B4" w14:paraId="248A0625" w14:textId="77777777" w:rsidTr="004B3002">
        <w:trPr>
          <w:trHeight w:val="915"/>
        </w:trPr>
        <w:tc>
          <w:tcPr>
            <w:tcW w:w="704" w:type="dxa"/>
            <w:noWrap/>
            <w:vAlign w:val="center"/>
            <w:hideMark/>
          </w:tcPr>
          <w:p w14:paraId="59D02BC9"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13</w:t>
            </w:r>
          </w:p>
        </w:tc>
        <w:tc>
          <w:tcPr>
            <w:tcW w:w="1418" w:type="dxa"/>
            <w:noWrap/>
            <w:vAlign w:val="center"/>
            <w:hideMark/>
          </w:tcPr>
          <w:p w14:paraId="222C96D0" w14:textId="3DC688F1"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80063</w:t>
            </w:r>
          </w:p>
        </w:tc>
        <w:tc>
          <w:tcPr>
            <w:tcW w:w="3068" w:type="dxa"/>
            <w:vAlign w:val="center"/>
            <w:hideMark/>
          </w:tcPr>
          <w:p w14:paraId="23A26668" w14:textId="4F79AE1E"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FIDEICOMISO DEL FONDO PARA EL FOMENTO ESTATAL DE LAS ACTIVIDADES PRODUCTIVAS DE OAXACA (FIDEAPO)  </w:t>
            </w:r>
          </w:p>
        </w:tc>
        <w:tc>
          <w:tcPr>
            <w:tcW w:w="1955" w:type="dxa"/>
            <w:vAlign w:val="center"/>
            <w:hideMark/>
          </w:tcPr>
          <w:p w14:paraId="283F6A24" w14:textId="310C4BF2"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ENTIDAD PARAESTATAL</w:t>
            </w:r>
          </w:p>
        </w:tc>
        <w:tc>
          <w:tcPr>
            <w:tcW w:w="1775" w:type="dxa"/>
            <w:noWrap/>
            <w:vAlign w:val="center"/>
            <w:hideMark/>
          </w:tcPr>
          <w:p w14:paraId="23D7B00F" w14:textId="5058438D"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14,573,702.83 </w:t>
            </w:r>
          </w:p>
        </w:tc>
      </w:tr>
      <w:tr w:rsidR="003237FF" w:rsidRPr="00C953B4" w14:paraId="7EE769DA" w14:textId="77777777" w:rsidTr="004B3002">
        <w:trPr>
          <w:trHeight w:val="915"/>
        </w:trPr>
        <w:tc>
          <w:tcPr>
            <w:tcW w:w="704" w:type="dxa"/>
            <w:noWrap/>
            <w:vAlign w:val="center"/>
            <w:hideMark/>
          </w:tcPr>
          <w:p w14:paraId="5E1A72FC"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14</w:t>
            </w:r>
          </w:p>
        </w:tc>
        <w:tc>
          <w:tcPr>
            <w:tcW w:w="1418" w:type="dxa"/>
            <w:noWrap/>
            <w:vAlign w:val="center"/>
            <w:hideMark/>
          </w:tcPr>
          <w:p w14:paraId="37BA1A92" w14:textId="3F3EAC89"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80064</w:t>
            </w:r>
          </w:p>
        </w:tc>
        <w:tc>
          <w:tcPr>
            <w:tcW w:w="3068" w:type="dxa"/>
            <w:vAlign w:val="center"/>
            <w:hideMark/>
          </w:tcPr>
          <w:p w14:paraId="799A1187" w14:textId="297A16C3"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DEL FONDO DE FOMENTO A EMPRESAS DE SOLIDARIDAD EN EL ISTMO</w:t>
            </w:r>
            <w:r w:rsidRPr="00C953B4">
              <w:rPr>
                <w:rFonts w:ascii="Montserrat" w:hAnsi="Montserrat" w:cs="Calibri"/>
                <w:color w:val="000000"/>
                <w:sz w:val="20"/>
                <w:szCs w:val="20"/>
              </w:rPr>
              <w:br/>
              <w:t xml:space="preserve">DE OAXACA (FOFASIO) </w:t>
            </w:r>
          </w:p>
        </w:tc>
        <w:tc>
          <w:tcPr>
            <w:tcW w:w="1955" w:type="dxa"/>
            <w:vAlign w:val="center"/>
            <w:hideMark/>
          </w:tcPr>
          <w:p w14:paraId="269F549E" w14:textId="53D604A9"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ENTIDAD PARAESTATAL</w:t>
            </w:r>
          </w:p>
        </w:tc>
        <w:tc>
          <w:tcPr>
            <w:tcW w:w="1775" w:type="dxa"/>
            <w:noWrap/>
            <w:vAlign w:val="center"/>
            <w:hideMark/>
          </w:tcPr>
          <w:p w14:paraId="497DEC84" w14:textId="5398216F"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w:t>
            </w:r>
            <w:r w:rsidR="004B3002">
              <w:rPr>
                <w:rFonts w:ascii="Montserrat" w:hAnsi="Montserrat" w:cs="Calibri"/>
                <w:color w:val="000000"/>
                <w:sz w:val="20"/>
                <w:szCs w:val="20"/>
              </w:rPr>
              <w:t>0.00</w:t>
            </w:r>
            <w:r w:rsidRPr="00C953B4">
              <w:rPr>
                <w:rFonts w:ascii="Montserrat" w:hAnsi="Montserrat" w:cs="Calibri"/>
                <w:color w:val="000000"/>
                <w:sz w:val="20"/>
                <w:szCs w:val="20"/>
              </w:rPr>
              <w:t xml:space="preserve">   </w:t>
            </w:r>
          </w:p>
        </w:tc>
      </w:tr>
      <w:tr w:rsidR="003237FF" w:rsidRPr="00C953B4" w14:paraId="79C7B12D" w14:textId="77777777" w:rsidTr="004B3002">
        <w:trPr>
          <w:trHeight w:val="465"/>
        </w:trPr>
        <w:tc>
          <w:tcPr>
            <w:tcW w:w="704" w:type="dxa"/>
            <w:noWrap/>
            <w:vAlign w:val="center"/>
            <w:hideMark/>
          </w:tcPr>
          <w:p w14:paraId="0ED4D19A"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15</w:t>
            </w:r>
          </w:p>
        </w:tc>
        <w:tc>
          <w:tcPr>
            <w:tcW w:w="1418" w:type="dxa"/>
            <w:noWrap/>
            <w:vAlign w:val="center"/>
            <w:hideMark/>
          </w:tcPr>
          <w:p w14:paraId="1579A8BC" w14:textId="755B4B94"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11150</w:t>
            </w:r>
          </w:p>
        </w:tc>
        <w:tc>
          <w:tcPr>
            <w:tcW w:w="3068" w:type="dxa"/>
            <w:vAlign w:val="center"/>
            <w:hideMark/>
          </w:tcPr>
          <w:p w14:paraId="774AF914" w14:textId="2C4D3EF4"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DE FOMENTO MINERO (FIMO)</w:t>
            </w:r>
          </w:p>
        </w:tc>
        <w:tc>
          <w:tcPr>
            <w:tcW w:w="1955" w:type="dxa"/>
            <w:vAlign w:val="center"/>
            <w:hideMark/>
          </w:tcPr>
          <w:p w14:paraId="12426ABB" w14:textId="60912F01"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ENTIDAD PARAESTATAL</w:t>
            </w:r>
          </w:p>
        </w:tc>
        <w:tc>
          <w:tcPr>
            <w:tcW w:w="1775" w:type="dxa"/>
            <w:noWrap/>
            <w:vAlign w:val="center"/>
            <w:hideMark/>
          </w:tcPr>
          <w:p w14:paraId="19054228" w14:textId="7210C5F2"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15,022,018.27 </w:t>
            </w:r>
          </w:p>
        </w:tc>
      </w:tr>
      <w:tr w:rsidR="003237FF" w:rsidRPr="00C953B4" w14:paraId="65ECB06E" w14:textId="77777777" w:rsidTr="004B3002">
        <w:trPr>
          <w:trHeight w:val="915"/>
        </w:trPr>
        <w:tc>
          <w:tcPr>
            <w:tcW w:w="704" w:type="dxa"/>
            <w:noWrap/>
            <w:vAlign w:val="center"/>
            <w:hideMark/>
          </w:tcPr>
          <w:p w14:paraId="7CE4F179"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16</w:t>
            </w:r>
          </w:p>
        </w:tc>
        <w:tc>
          <w:tcPr>
            <w:tcW w:w="1418" w:type="dxa"/>
            <w:noWrap/>
            <w:vAlign w:val="center"/>
            <w:hideMark/>
          </w:tcPr>
          <w:p w14:paraId="76109EF9" w14:textId="3426FA33"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2249</w:t>
            </w:r>
          </w:p>
        </w:tc>
        <w:tc>
          <w:tcPr>
            <w:tcW w:w="3068" w:type="dxa"/>
            <w:vAlign w:val="center"/>
            <w:hideMark/>
          </w:tcPr>
          <w:p w14:paraId="76AFA593" w14:textId="3B479981"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CORREDOR BRT 1 PONIENTE DEL SISTEMA INTEGRADO DE TRANSPORTE DE LA ZONA METROPOLITANA DE OAXACA</w:t>
            </w:r>
          </w:p>
        </w:tc>
        <w:tc>
          <w:tcPr>
            <w:tcW w:w="1955" w:type="dxa"/>
            <w:vAlign w:val="center"/>
            <w:hideMark/>
          </w:tcPr>
          <w:p w14:paraId="4B6FE0A1" w14:textId="474F2ACD"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ADMINISTRACIÓN</w:t>
            </w:r>
          </w:p>
        </w:tc>
        <w:tc>
          <w:tcPr>
            <w:tcW w:w="1775" w:type="dxa"/>
            <w:noWrap/>
            <w:vAlign w:val="center"/>
            <w:hideMark/>
          </w:tcPr>
          <w:p w14:paraId="1E094D71" w14:textId="35C2FE3F"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38,616,920.61 </w:t>
            </w:r>
          </w:p>
        </w:tc>
      </w:tr>
      <w:tr w:rsidR="003237FF" w:rsidRPr="00C953B4" w14:paraId="630C5385" w14:textId="77777777" w:rsidTr="004B3002">
        <w:trPr>
          <w:trHeight w:val="465"/>
        </w:trPr>
        <w:tc>
          <w:tcPr>
            <w:tcW w:w="704" w:type="dxa"/>
            <w:noWrap/>
            <w:vAlign w:val="center"/>
            <w:hideMark/>
          </w:tcPr>
          <w:p w14:paraId="443957A2"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lastRenderedPageBreak/>
              <w:t>17</w:t>
            </w:r>
          </w:p>
        </w:tc>
        <w:tc>
          <w:tcPr>
            <w:tcW w:w="1418" w:type="dxa"/>
            <w:noWrap/>
            <w:vAlign w:val="center"/>
            <w:hideMark/>
          </w:tcPr>
          <w:p w14:paraId="66E3BC5D" w14:textId="6C44FF1D"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11041126</w:t>
            </w:r>
          </w:p>
        </w:tc>
        <w:tc>
          <w:tcPr>
            <w:tcW w:w="3068" w:type="dxa"/>
            <w:vAlign w:val="center"/>
            <w:hideMark/>
          </w:tcPr>
          <w:p w14:paraId="49BE25CF" w14:textId="35D3008B"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FONDO DE DESASTRES NATURALES DEL ESTADO DE OAXACA (FDNEO)</w:t>
            </w:r>
          </w:p>
        </w:tc>
        <w:tc>
          <w:tcPr>
            <w:tcW w:w="1955" w:type="dxa"/>
            <w:vAlign w:val="center"/>
            <w:hideMark/>
          </w:tcPr>
          <w:p w14:paraId="1EBD50DD" w14:textId="00FCFD99"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ADMINISTRACIÓN, INVERSIÓN Y PAGO </w:t>
            </w:r>
          </w:p>
        </w:tc>
        <w:tc>
          <w:tcPr>
            <w:tcW w:w="1775" w:type="dxa"/>
            <w:noWrap/>
            <w:vAlign w:val="center"/>
            <w:hideMark/>
          </w:tcPr>
          <w:p w14:paraId="5FD3FFE1" w14:textId="10E4F80A"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272,999,529.55 </w:t>
            </w:r>
          </w:p>
        </w:tc>
      </w:tr>
      <w:tr w:rsidR="003237FF" w:rsidRPr="00C953B4" w14:paraId="1AB30AE6" w14:textId="77777777" w:rsidTr="004B3002">
        <w:trPr>
          <w:trHeight w:val="690"/>
        </w:trPr>
        <w:tc>
          <w:tcPr>
            <w:tcW w:w="704" w:type="dxa"/>
            <w:noWrap/>
            <w:vAlign w:val="center"/>
            <w:hideMark/>
          </w:tcPr>
          <w:p w14:paraId="6AED0E06"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18</w:t>
            </w:r>
          </w:p>
        </w:tc>
        <w:tc>
          <w:tcPr>
            <w:tcW w:w="1418" w:type="dxa"/>
            <w:noWrap/>
            <w:vAlign w:val="center"/>
            <w:hideMark/>
          </w:tcPr>
          <w:p w14:paraId="233FEDEC" w14:textId="63CACC59"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4100558</w:t>
            </w:r>
          </w:p>
        </w:tc>
        <w:tc>
          <w:tcPr>
            <w:tcW w:w="3068" w:type="dxa"/>
            <w:vAlign w:val="center"/>
            <w:hideMark/>
          </w:tcPr>
          <w:p w14:paraId="66974662" w14:textId="1FDA4B26"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IRREVOCABLE DE ADMINISTRACIÓN Y FUENTE DE PAGO</w:t>
            </w:r>
          </w:p>
        </w:tc>
        <w:tc>
          <w:tcPr>
            <w:tcW w:w="1955" w:type="dxa"/>
            <w:vAlign w:val="center"/>
            <w:hideMark/>
          </w:tcPr>
          <w:p w14:paraId="5473FAA9" w14:textId="0A198AEB"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ADMINISTRACIÓN Y FUENTE DE PAGO</w:t>
            </w:r>
          </w:p>
        </w:tc>
        <w:tc>
          <w:tcPr>
            <w:tcW w:w="1775" w:type="dxa"/>
            <w:noWrap/>
            <w:vAlign w:val="center"/>
            <w:hideMark/>
          </w:tcPr>
          <w:p w14:paraId="0064162A" w14:textId="17A0ADC4"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62,859,184.53 </w:t>
            </w:r>
          </w:p>
        </w:tc>
      </w:tr>
      <w:tr w:rsidR="003237FF" w:rsidRPr="00C953B4" w14:paraId="2945DAA5" w14:textId="77777777" w:rsidTr="004B3002">
        <w:trPr>
          <w:trHeight w:val="690"/>
        </w:trPr>
        <w:tc>
          <w:tcPr>
            <w:tcW w:w="704" w:type="dxa"/>
            <w:noWrap/>
            <w:vAlign w:val="center"/>
            <w:hideMark/>
          </w:tcPr>
          <w:p w14:paraId="61B5D187"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19</w:t>
            </w:r>
          </w:p>
        </w:tc>
        <w:tc>
          <w:tcPr>
            <w:tcW w:w="1418" w:type="dxa"/>
            <w:noWrap/>
            <w:vAlign w:val="center"/>
            <w:hideMark/>
          </w:tcPr>
          <w:p w14:paraId="17340435" w14:textId="7891BD28"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10754</w:t>
            </w:r>
          </w:p>
        </w:tc>
        <w:tc>
          <w:tcPr>
            <w:tcW w:w="3068" w:type="dxa"/>
            <w:vAlign w:val="center"/>
            <w:hideMark/>
          </w:tcPr>
          <w:p w14:paraId="419228C4" w14:textId="054A109F"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FIDEICOMISO IRREVOCABLE DE ADMINISTRACIÓN Y FUENTE DE PAGO </w:t>
            </w:r>
          </w:p>
        </w:tc>
        <w:tc>
          <w:tcPr>
            <w:tcW w:w="1955" w:type="dxa"/>
            <w:vAlign w:val="center"/>
            <w:hideMark/>
          </w:tcPr>
          <w:p w14:paraId="1F32B3EF" w14:textId="10F320EE"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ADMINISTRACIÓN Y FUENTE DE PAGO</w:t>
            </w:r>
          </w:p>
        </w:tc>
        <w:tc>
          <w:tcPr>
            <w:tcW w:w="1775" w:type="dxa"/>
            <w:noWrap/>
            <w:vAlign w:val="center"/>
            <w:hideMark/>
          </w:tcPr>
          <w:p w14:paraId="772D8B4C" w14:textId="1DFC2C0D"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$ 2,995,879.57</w:t>
            </w:r>
            <w:r w:rsidRPr="00C953B4">
              <w:rPr>
                <w:rFonts w:ascii="Montserrat" w:hAnsi="Montserrat" w:cs="Calibri"/>
                <w:color w:val="000000"/>
                <w:sz w:val="20"/>
                <w:szCs w:val="20"/>
              </w:rPr>
              <w:br/>
              <w:t xml:space="preserve"> </w:t>
            </w:r>
          </w:p>
        </w:tc>
      </w:tr>
      <w:tr w:rsidR="003237FF" w:rsidRPr="00C953B4" w14:paraId="418E83F1" w14:textId="77777777" w:rsidTr="004B3002">
        <w:trPr>
          <w:trHeight w:val="690"/>
        </w:trPr>
        <w:tc>
          <w:tcPr>
            <w:tcW w:w="704" w:type="dxa"/>
            <w:noWrap/>
            <w:vAlign w:val="center"/>
            <w:hideMark/>
          </w:tcPr>
          <w:p w14:paraId="77E1C57A"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20</w:t>
            </w:r>
          </w:p>
        </w:tc>
        <w:tc>
          <w:tcPr>
            <w:tcW w:w="1418" w:type="dxa"/>
            <w:noWrap/>
            <w:vAlign w:val="center"/>
            <w:hideMark/>
          </w:tcPr>
          <w:p w14:paraId="2B61DBD9" w14:textId="2B930184"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11581</w:t>
            </w:r>
          </w:p>
        </w:tc>
        <w:tc>
          <w:tcPr>
            <w:tcW w:w="3068" w:type="dxa"/>
            <w:vAlign w:val="center"/>
            <w:hideMark/>
          </w:tcPr>
          <w:p w14:paraId="643BD77E" w14:textId="468B37AA"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IRREVOCABLE DE ADMINISTRACIÓN Y FUENTE DE PAGO (MAS OAXACA)</w:t>
            </w:r>
          </w:p>
        </w:tc>
        <w:tc>
          <w:tcPr>
            <w:tcW w:w="1955" w:type="dxa"/>
            <w:vAlign w:val="center"/>
            <w:hideMark/>
          </w:tcPr>
          <w:p w14:paraId="66C6D76F" w14:textId="5A430FD8"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ADMINISTRACIÓN Y FUENTE DE PAGO</w:t>
            </w:r>
          </w:p>
        </w:tc>
        <w:tc>
          <w:tcPr>
            <w:tcW w:w="1775" w:type="dxa"/>
            <w:noWrap/>
            <w:vAlign w:val="center"/>
            <w:hideMark/>
          </w:tcPr>
          <w:p w14:paraId="7543B548" w14:textId="6A2654BC"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10,827,546.89 </w:t>
            </w:r>
          </w:p>
        </w:tc>
      </w:tr>
      <w:tr w:rsidR="003237FF" w:rsidRPr="00C953B4" w14:paraId="01BF14F1" w14:textId="77777777" w:rsidTr="004B3002">
        <w:trPr>
          <w:trHeight w:val="915"/>
        </w:trPr>
        <w:tc>
          <w:tcPr>
            <w:tcW w:w="704" w:type="dxa"/>
            <w:noWrap/>
            <w:vAlign w:val="center"/>
            <w:hideMark/>
          </w:tcPr>
          <w:p w14:paraId="136886E6"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21</w:t>
            </w:r>
          </w:p>
        </w:tc>
        <w:tc>
          <w:tcPr>
            <w:tcW w:w="1418" w:type="dxa"/>
            <w:noWrap/>
            <w:vAlign w:val="center"/>
            <w:hideMark/>
          </w:tcPr>
          <w:p w14:paraId="2C0BF0EF" w14:textId="6299D41F"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360958235</w:t>
            </w:r>
          </w:p>
        </w:tc>
        <w:tc>
          <w:tcPr>
            <w:tcW w:w="3068" w:type="dxa"/>
            <w:vAlign w:val="center"/>
            <w:hideMark/>
          </w:tcPr>
          <w:p w14:paraId="6126D052" w14:textId="367695BB"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NIÑAS, NIÑOS, ADOLESCENTES Y ADULTOS DAMNIFICADOS DEL MUNICIPIO DE SANTIAGO JAMILTEPEC, OAXACA.</w:t>
            </w:r>
          </w:p>
        </w:tc>
        <w:tc>
          <w:tcPr>
            <w:tcW w:w="1955" w:type="dxa"/>
            <w:vAlign w:val="center"/>
            <w:hideMark/>
          </w:tcPr>
          <w:p w14:paraId="2912CF47" w14:textId="0519B385"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 xml:space="preserve">ADMINISTRACIÓN, INVERSIÓN Y PAGO </w:t>
            </w:r>
          </w:p>
        </w:tc>
        <w:tc>
          <w:tcPr>
            <w:tcW w:w="1775" w:type="dxa"/>
            <w:noWrap/>
            <w:vAlign w:val="center"/>
            <w:hideMark/>
          </w:tcPr>
          <w:p w14:paraId="51A6A970" w14:textId="53015F48"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2,518,488.16 </w:t>
            </w:r>
          </w:p>
        </w:tc>
      </w:tr>
      <w:tr w:rsidR="003237FF" w:rsidRPr="00C953B4" w14:paraId="0EC4DE46" w14:textId="77777777" w:rsidTr="004B3002">
        <w:trPr>
          <w:trHeight w:val="690"/>
        </w:trPr>
        <w:tc>
          <w:tcPr>
            <w:tcW w:w="704" w:type="dxa"/>
            <w:noWrap/>
            <w:vAlign w:val="center"/>
            <w:hideMark/>
          </w:tcPr>
          <w:p w14:paraId="1A932091"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22</w:t>
            </w:r>
          </w:p>
        </w:tc>
        <w:tc>
          <w:tcPr>
            <w:tcW w:w="1418" w:type="dxa"/>
            <w:noWrap/>
            <w:vAlign w:val="center"/>
            <w:hideMark/>
          </w:tcPr>
          <w:p w14:paraId="19552B4E" w14:textId="07E97704"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2004587</w:t>
            </w:r>
          </w:p>
        </w:tc>
        <w:tc>
          <w:tcPr>
            <w:tcW w:w="3068" w:type="dxa"/>
            <w:vAlign w:val="center"/>
            <w:hideMark/>
          </w:tcPr>
          <w:p w14:paraId="736B0488" w14:textId="446B07A6"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MAESTRO DE ADMINISTRACIÓN Y FUENTE DE PAGO</w:t>
            </w:r>
          </w:p>
        </w:tc>
        <w:tc>
          <w:tcPr>
            <w:tcW w:w="1955" w:type="dxa"/>
            <w:vAlign w:val="center"/>
            <w:hideMark/>
          </w:tcPr>
          <w:p w14:paraId="6B99D442" w14:textId="59C3B2F3"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ADMINISTRACIÓN Y FUENTE DE PAGO</w:t>
            </w:r>
          </w:p>
        </w:tc>
        <w:tc>
          <w:tcPr>
            <w:tcW w:w="1775" w:type="dxa"/>
            <w:noWrap/>
            <w:vAlign w:val="center"/>
            <w:hideMark/>
          </w:tcPr>
          <w:p w14:paraId="0770D5C0" w14:textId="0CD288B8"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401,830,260.00 </w:t>
            </w:r>
          </w:p>
        </w:tc>
      </w:tr>
      <w:tr w:rsidR="003237FF" w:rsidRPr="00C953B4" w14:paraId="796AD407" w14:textId="77777777" w:rsidTr="004B3002">
        <w:trPr>
          <w:trHeight w:val="690"/>
        </w:trPr>
        <w:tc>
          <w:tcPr>
            <w:tcW w:w="704" w:type="dxa"/>
            <w:noWrap/>
            <w:vAlign w:val="center"/>
            <w:hideMark/>
          </w:tcPr>
          <w:p w14:paraId="318FEDC2" w14:textId="77777777" w:rsidR="003237FF" w:rsidRPr="00C953B4" w:rsidRDefault="003237FF" w:rsidP="003237FF">
            <w:pPr>
              <w:jc w:val="center"/>
              <w:rPr>
                <w:rFonts w:ascii="Montserrat" w:eastAsia="Times New Roman" w:hAnsi="Montserrat" w:cs="Arial"/>
                <w:sz w:val="20"/>
                <w:szCs w:val="20"/>
              </w:rPr>
            </w:pPr>
            <w:r w:rsidRPr="00C953B4">
              <w:rPr>
                <w:rFonts w:ascii="Montserrat" w:eastAsia="Times New Roman" w:hAnsi="Montserrat" w:cs="Arial"/>
                <w:sz w:val="20"/>
                <w:szCs w:val="20"/>
              </w:rPr>
              <w:t>23</w:t>
            </w:r>
          </w:p>
        </w:tc>
        <w:tc>
          <w:tcPr>
            <w:tcW w:w="1418" w:type="dxa"/>
            <w:noWrap/>
            <w:vAlign w:val="center"/>
            <w:hideMark/>
          </w:tcPr>
          <w:p w14:paraId="79A10C81" w14:textId="6AC2293A"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2004588</w:t>
            </w:r>
          </w:p>
        </w:tc>
        <w:tc>
          <w:tcPr>
            <w:tcW w:w="3068" w:type="dxa"/>
            <w:vAlign w:val="center"/>
            <w:hideMark/>
          </w:tcPr>
          <w:p w14:paraId="3269B9AF" w14:textId="6BF40130"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FIDEICOMISO MAESTRO DE ADMINISTRACIÓN Y FUENTE DE PAGO</w:t>
            </w:r>
          </w:p>
        </w:tc>
        <w:tc>
          <w:tcPr>
            <w:tcW w:w="1955" w:type="dxa"/>
            <w:vAlign w:val="center"/>
            <w:hideMark/>
          </w:tcPr>
          <w:p w14:paraId="1D053C21" w14:textId="43B4FA2E" w:rsidR="003237FF" w:rsidRPr="00C953B4" w:rsidRDefault="003237FF" w:rsidP="003237FF">
            <w:pPr>
              <w:rPr>
                <w:rFonts w:ascii="Montserrat" w:eastAsia="Times New Roman" w:hAnsi="Montserrat" w:cs="Arial"/>
                <w:sz w:val="20"/>
                <w:szCs w:val="20"/>
              </w:rPr>
            </w:pPr>
            <w:r w:rsidRPr="00C953B4">
              <w:rPr>
                <w:rFonts w:ascii="Montserrat" w:hAnsi="Montserrat" w:cs="Calibri"/>
                <w:color w:val="000000"/>
                <w:sz w:val="20"/>
                <w:szCs w:val="20"/>
              </w:rPr>
              <w:t>ADMINISTRACIÓN Y FUENTE DE PAGO</w:t>
            </w:r>
          </w:p>
        </w:tc>
        <w:tc>
          <w:tcPr>
            <w:tcW w:w="1775" w:type="dxa"/>
            <w:noWrap/>
            <w:vAlign w:val="center"/>
            <w:hideMark/>
          </w:tcPr>
          <w:p w14:paraId="6CE07163" w14:textId="1F5516CF" w:rsidR="003237FF" w:rsidRPr="00C953B4" w:rsidRDefault="003237FF" w:rsidP="004B3002">
            <w:pPr>
              <w:jc w:val="right"/>
              <w:rPr>
                <w:rFonts w:ascii="Montserrat" w:eastAsia="Times New Roman" w:hAnsi="Montserrat" w:cs="Arial"/>
                <w:sz w:val="20"/>
                <w:szCs w:val="20"/>
              </w:rPr>
            </w:pPr>
            <w:r w:rsidRPr="00C953B4">
              <w:rPr>
                <w:rFonts w:ascii="Montserrat" w:hAnsi="Montserrat" w:cs="Calibri"/>
                <w:color w:val="000000"/>
                <w:sz w:val="20"/>
                <w:szCs w:val="20"/>
              </w:rPr>
              <w:t xml:space="preserve">  176,208,786.00 </w:t>
            </w:r>
          </w:p>
        </w:tc>
      </w:tr>
      <w:tr w:rsidR="00FD2DE6" w:rsidRPr="00C953B4" w14:paraId="59D4A2AB" w14:textId="77777777" w:rsidTr="004B3002">
        <w:trPr>
          <w:trHeight w:val="605"/>
        </w:trPr>
        <w:tc>
          <w:tcPr>
            <w:tcW w:w="704" w:type="dxa"/>
            <w:noWrap/>
            <w:hideMark/>
          </w:tcPr>
          <w:p w14:paraId="1255147F" w14:textId="77777777" w:rsidR="00A018AA" w:rsidRPr="00C953B4" w:rsidRDefault="00A018AA" w:rsidP="00A018AA">
            <w:pPr>
              <w:rPr>
                <w:rFonts w:ascii="Montserrat" w:eastAsia="Times New Roman" w:hAnsi="Montserrat" w:cs="Arial"/>
                <w:sz w:val="20"/>
                <w:szCs w:val="20"/>
              </w:rPr>
            </w:pPr>
            <w:r w:rsidRPr="00C953B4">
              <w:rPr>
                <w:rFonts w:ascii="Montserrat" w:eastAsia="Times New Roman" w:hAnsi="Montserrat" w:cs="Arial"/>
                <w:sz w:val="20"/>
                <w:szCs w:val="20"/>
              </w:rPr>
              <w:t> </w:t>
            </w:r>
          </w:p>
        </w:tc>
        <w:tc>
          <w:tcPr>
            <w:tcW w:w="1418" w:type="dxa"/>
            <w:vAlign w:val="center"/>
            <w:hideMark/>
          </w:tcPr>
          <w:p w14:paraId="64FFFAAA" w14:textId="77777777" w:rsidR="00A018AA" w:rsidRPr="00C953B4" w:rsidRDefault="00A018AA" w:rsidP="003237FF">
            <w:pPr>
              <w:jc w:val="center"/>
              <w:rPr>
                <w:rFonts w:ascii="Montserrat" w:eastAsia="Times New Roman" w:hAnsi="Montserrat" w:cs="Arial"/>
                <w:b/>
                <w:bCs/>
                <w:sz w:val="20"/>
                <w:szCs w:val="20"/>
              </w:rPr>
            </w:pPr>
            <w:r w:rsidRPr="00C953B4">
              <w:rPr>
                <w:rFonts w:ascii="Montserrat" w:eastAsia="Times New Roman" w:hAnsi="Montserrat" w:cs="Arial"/>
                <w:b/>
                <w:bCs/>
                <w:sz w:val="20"/>
                <w:szCs w:val="20"/>
              </w:rPr>
              <w:t>TOTAL</w:t>
            </w:r>
          </w:p>
        </w:tc>
        <w:tc>
          <w:tcPr>
            <w:tcW w:w="3068" w:type="dxa"/>
            <w:hideMark/>
          </w:tcPr>
          <w:p w14:paraId="4B40443E" w14:textId="77777777" w:rsidR="00A018AA" w:rsidRPr="00C953B4" w:rsidRDefault="00A018AA">
            <w:pPr>
              <w:rPr>
                <w:rFonts w:ascii="Montserrat" w:eastAsia="Times New Roman" w:hAnsi="Montserrat" w:cs="Arial"/>
                <w:b/>
                <w:bCs/>
                <w:sz w:val="20"/>
                <w:szCs w:val="20"/>
              </w:rPr>
            </w:pPr>
            <w:r w:rsidRPr="00C953B4">
              <w:rPr>
                <w:rFonts w:ascii="Montserrat" w:eastAsia="Times New Roman" w:hAnsi="Montserrat" w:cs="Arial"/>
                <w:b/>
                <w:bCs/>
                <w:sz w:val="20"/>
                <w:szCs w:val="20"/>
              </w:rPr>
              <w:t> </w:t>
            </w:r>
          </w:p>
        </w:tc>
        <w:tc>
          <w:tcPr>
            <w:tcW w:w="1955" w:type="dxa"/>
            <w:hideMark/>
          </w:tcPr>
          <w:p w14:paraId="7B86DB5B" w14:textId="77777777" w:rsidR="00A018AA" w:rsidRPr="00C953B4" w:rsidRDefault="00A018AA">
            <w:pPr>
              <w:rPr>
                <w:rFonts w:ascii="Montserrat" w:eastAsia="Times New Roman" w:hAnsi="Montserrat" w:cs="Arial"/>
                <w:b/>
                <w:bCs/>
                <w:sz w:val="20"/>
                <w:szCs w:val="20"/>
              </w:rPr>
            </w:pPr>
            <w:r w:rsidRPr="00C953B4">
              <w:rPr>
                <w:rFonts w:ascii="Montserrat" w:eastAsia="Times New Roman" w:hAnsi="Montserrat" w:cs="Arial"/>
                <w:b/>
                <w:bCs/>
                <w:sz w:val="20"/>
                <w:szCs w:val="20"/>
              </w:rPr>
              <w:t> </w:t>
            </w:r>
          </w:p>
        </w:tc>
        <w:tc>
          <w:tcPr>
            <w:tcW w:w="1775" w:type="dxa"/>
            <w:noWrap/>
            <w:vAlign w:val="center"/>
            <w:hideMark/>
          </w:tcPr>
          <w:p w14:paraId="7F9A3448" w14:textId="11D85CDD" w:rsidR="00A018AA" w:rsidRPr="00A15D46" w:rsidRDefault="003237FF" w:rsidP="004B3002">
            <w:pPr>
              <w:jc w:val="right"/>
              <w:rPr>
                <w:rFonts w:ascii="Montserrat" w:hAnsi="Montserrat" w:cs="Calibri"/>
                <w:b/>
                <w:bCs/>
                <w:color w:val="000000"/>
                <w:sz w:val="20"/>
                <w:szCs w:val="20"/>
              </w:rPr>
            </w:pPr>
            <w:r w:rsidRPr="00A15D46">
              <w:rPr>
                <w:rFonts w:ascii="Montserrat" w:hAnsi="Montserrat" w:cs="Calibri"/>
                <w:b/>
                <w:bCs/>
                <w:color w:val="000000"/>
                <w:sz w:val="20"/>
                <w:szCs w:val="20"/>
              </w:rPr>
              <w:t>1,251,194,354.95</w:t>
            </w:r>
            <w:r w:rsidR="00A018AA" w:rsidRPr="00A15D46">
              <w:rPr>
                <w:rFonts w:ascii="Montserrat" w:eastAsia="Times New Roman" w:hAnsi="Montserrat" w:cs="Arial"/>
                <w:b/>
                <w:bCs/>
                <w:sz w:val="20"/>
                <w:szCs w:val="20"/>
              </w:rPr>
              <w:t xml:space="preserve"> </w:t>
            </w:r>
          </w:p>
        </w:tc>
      </w:tr>
    </w:tbl>
    <w:p w14:paraId="7DCBE51D" w14:textId="77777777" w:rsidR="00B0059B" w:rsidRPr="00FD2DE6" w:rsidRDefault="00B0059B" w:rsidP="00B0059B">
      <w:pPr>
        <w:rPr>
          <w:rFonts w:ascii="Montserrat" w:eastAsia="Times New Roman" w:hAnsi="Montserrat" w:cs="Arial"/>
        </w:rPr>
      </w:pPr>
    </w:p>
    <w:p w14:paraId="48110E88" w14:textId="4B4511E6" w:rsidR="004B3002" w:rsidRDefault="004B3002">
      <w:pPr>
        <w:rPr>
          <w:rFonts w:ascii="Montserrat" w:eastAsia="Times New Roman" w:hAnsi="Montserrat" w:cs="Arial"/>
        </w:rPr>
      </w:pPr>
      <w:r>
        <w:rPr>
          <w:rFonts w:ascii="Montserrat" w:eastAsia="Times New Roman" w:hAnsi="Montserrat" w:cs="Arial"/>
        </w:rPr>
        <w:br w:type="page"/>
      </w:r>
    </w:p>
    <w:p w14:paraId="12218DDD"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lastRenderedPageBreak/>
        <w:t>Reporte de recaudación</w:t>
      </w:r>
    </w:p>
    <w:p w14:paraId="4628ED00" w14:textId="49C0B339" w:rsidR="00D70A3F" w:rsidRPr="00FD2DE6" w:rsidRDefault="00D70A3F" w:rsidP="003237FF">
      <w:pPr>
        <w:ind w:left="142"/>
        <w:jc w:val="both"/>
        <w:rPr>
          <w:rFonts w:ascii="Montserrat" w:hAnsi="Montserrat" w:cs="Arial"/>
          <w:kern w:val="2"/>
          <w:lang w:eastAsia="en-US"/>
        </w:rPr>
      </w:pPr>
      <w:r w:rsidRPr="00FD2DE6">
        <w:rPr>
          <w:rFonts w:ascii="Montserrat" w:hAnsi="Montserrat" w:cs="Arial"/>
          <w:kern w:val="2"/>
          <w:lang w:eastAsia="en-US"/>
        </w:rPr>
        <w:t xml:space="preserve">Acciones de Fiscalización, Resultados del Periodo Enero – </w:t>
      </w:r>
      <w:r w:rsidR="003237FF">
        <w:rPr>
          <w:rFonts w:ascii="Montserrat" w:hAnsi="Montserrat" w:cs="Arial"/>
          <w:kern w:val="2"/>
          <w:lang w:eastAsia="en-US"/>
        </w:rPr>
        <w:t>Septiembre</w:t>
      </w:r>
      <w:r w:rsidRPr="00FD2DE6">
        <w:rPr>
          <w:rFonts w:ascii="Montserrat" w:hAnsi="Montserrat" w:cs="Arial"/>
          <w:kern w:val="2"/>
          <w:lang w:eastAsia="en-US"/>
        </w:rPr>
        <w:t xml:space="preserve"> de 2024.</w:t>
      </w:r>
    </w:p>
    <w:p w14:paraId="6987B069" w14:textId="77777777" w:rsidR="007B5ADF" w:rsidRPr="00FD2DE6" w:rsidRDefault="007B5ADF" w:rsidP="00D70A3F">
      <w:pPr>
        <w:jc w:val="both"/>
        <w:rPr>
          <w:rFonts w:ascii="Montserrat" w:hAnsi="Montserrat" w:cs="Arial"/>
          <w:b/>
          <w:kern w:val="2"/>
          <w:lang w:eastAsia="en-US"/>
        </w:rPr>
      </w:pPr>
    </w:p>
    <w:p w14:paraId="248530B0" w14:textId="0078AB96" w:rsidR="003237FF" w:rsidRPr="00C953B4" w:rsidRDefault="003237FF" w:rsidP="003237FF">
      <w:pPr>
        <w:jc w:val="both"/>
        <w:rPr>
          <w:rFonts w:ascii="Montserrat" w:hAnsi="Montserrat" w:cs="Arial"/>
          <w:b/>
          <w:kern w:val="2"/>
          <w:lang w:eastAsia="en-US"/>
        </w:rPr>
      </w:pPr>
      <w:r w:rsidRPr="00C953B4">
        <w:rPr>
          <w:rFonts w:ascii="Montserrat" w:hAnsi="Montserrat" w:cs="Arial"/>
          <w:b/>
          <w:kern w:val="2"/>
          <w:lang w:eastAsia="en-US"/>
        </w:rPr>
        <w:t>IMPUESTOS FEDERALES</w:t>
      </w:r>
    </w:p>
    <w:p w14:paraId="3B8C9A9C" w14:textId="77777777" w:rsidR="003237FF" w:rsidRPr="00C953B4" w:rsidRDefault="003237FF" w:rsidP="003237FF">
      <w:pPr>
        <w:jc w:val="both"/>
        <w:rPr>
          <w:rFonts w:ascii="Montserrat" w:hAnsi="Montserrat" w:cs="Arial"/>
          <w:b/>
          <w:kern w:val="2"/>
          <w:lang w:eastAsia="en-US"/>
        </w:rPr>
      </w:pPr>
    </w:p>
    <w:p w14:paraId="695BD2E7" w14:textId="02B6D817" w:rsidR="003237FF" w:rsidRPr="00C953B4" w:rsidRDefault="003237FF" w:rsidP="003237FF">
      <w:pPr>
        <w:jc w:val="both"/>
        <w:rPr>
          <w:rFonts w:ascii="Montserrat" w:hAnsi="Montserrat" w:cs="Arial"/>
          <w:b/>
          <w:kern w:val="2"/>
          <w:lang w:eastAsia="en-US"/>
        </w:rPr>
      </w:pPr>
      <w:r w:rsidRPr="00C953B4">
        <w:rPr>
          <w:rFonts w:ascii="Montserrat" w:hAnsi="Montserrat" w:cs="Arial"/>
          <w:b/>
          <w:kern w:val="2"/>
          <w:lang w:eastAsia="en-US"/>
        </w:rPr>
        <w:t>ACTOS DE FISCALIZACIÓN</w:t>
      </w:r>
    </w:p>
    <w:p w14:paraId="24A9A702" w14:textId="77777777" w:rsidR="003237FF" w:rsidRPr="00C953B4" w:rsidRDefault="003237FF" w:rsidP="003237FF">
      <w:pPr>
        <w:jc w:val="both"/>
        <w:rPr>
          <w:rFonts w:ascii="Montserrat" w:hAnsi="Montserrat" w:cs="Arial"/>
          <w:b/>
          <w:kern w:val="2"/>
          <w:lang w:eastAsia="en-US"/>
        </w:rPr>
      </w:pPr>
    </w:p>
    <w:p w14:paraId="06FFF0DC" w14:textId="77777777" w:rsidR="003237FF" w:rsidRPr="00C953B4" w:rsidRDefault="003237FF" w:rsidP="003237FF">
      <w:pPr>
        <w:jc w:val="both"/>
        <w:rPr>
          <w:rFonts w:ascii="Montserrat" w:hAnsi="Montserrat"/>
          <w:noProof/>
        </w:rPr>
      </w:pPr>
      <w:r w:rsidRPr="00C953B4">
        <w:rPr>
          <w:rFonts w:ascii="Montserrat" w:hAnsi="Montserrat" w:cs="Arial"/>
          <w:kern w:val="2"/>
          <w:lang w:eastAsia="en-US"/>
        </w:rPr>
        <w:t>Dentro de las atribuciones a cargo de la Secretaría de Finanzas, relacionadas con la verificación del cumplimiento de las obligaciones fiscales de los contribuyentes, la Dirección de Auditoría e Inspección Fiscal durante el periodo de enero a septiembre del presente año, concluyó 418 actos de fiscalización en materia de impuestos federales, cabe señalar que de acuerdo a la concertación del Programa Operativo Anual 2024 se tiene una meta anual de 345 actos, lográndose al tercer trimestre un avance del 121.15% respecto a dicha meta.</w:t>
      </w:r>
      <w:r w:rsidRPr="00C953B4">
        <w:rPr>
          <w:rFonts w:ascii="Montserrat" w:hAnsi="Montserrat"/>
          <w:noProof/>
        </w:rPr>
        <w:t xml:space="preserve"> </w:t>
      </w:r>
    </w:p>
    <w:p w14:paraId="23C7D5C8" w14:textId="2FC999D2" w:rsidR="003237FF" w:rsidRPr="00C953B4" w:rsidRDefault="001D3D38" w:rsidP="003237FF">
      <w:pPr>
        <w:jc w:val="both"/>
        <w:rPr>
          <w:rFonts w:ascii="Montserrat" w:hAnsi="Montserrat"/>
          <w:noProof/>
        </w:rPr>
      </w:pPr>
      <w:r w:rsidRPr="00C953B4">
        <w:rPr>
          <w:rFonts w:ascii="Montserrat" w:hAnsi="Montserrat"/>
          <w:noProof/>
          <w:lang w:val="es-MX"/>
        </w:rPr>
        <mc:AlternateContent>
          <mc:Choice Requires="wpg">
            <w:drawing>
              <wp:anchor distT="0" distB="0" distL="114300" distR="114300" simplePos="0" relativeHeight="251674624" behindDoc="0" locked="0" layoutInCell="1" allowOverlap="1" wp14:anchorId="111CB5B0" wp14:editId="4A851265">
                <wp:simplePos x="0" y="0"/>
                <wp:positionH relativeFrom="margin">
                  <wp:align>right</wp:align>
                </wp:positionH>
                <wp:positionV relativeFrom="paragraph">
                  <wp:posOffset>179705</wp:posOffset>
                </wp:positionV>
                <wp:extent cx="5683250" cy="2000250"/>
                <wp:effectExtent l="0" t="0" r="12700" b="0"/>
                <wp:wrapNone/>
                <wp:docPr id="505399722" name="10 Grupo"/>
                <wp:cNvGraphicFramePr/>
                <a:graphic xmlns:a="http://schemas.openxmlformats.org/drawingml/2006/main">
                  <a:graphicData uri="http://schemas.microsoft.com/office/word/2010/wordprocessingGroup">
                    <wpg:wgp>
                      <wpg:cNvGrpSpPr/>
                      <wpg:grpSpPr>
                        <a:xfrm>
                          <a:off x="0" y="0"/>
                          <a:ext cx="5683250" cy="2000250"/>
                          <a:chOff x="0" y="0"/>
                          <a:chExt cx="4824119" cy="2490788"/>
                        </a:xfrm>
                      </wpg:grpSpPr>
                      <wpg:graphicFrame>
                        <wpg:cNvPr id="1786451595" name="6 Gráfico"/>
                        <wpg:cNvFrPr/>
                        <wpg:xfrm>
                          <a:off x="0" y="0"/>
                          <a:ext cx="4824119" cy="2490788"/>
                        </wpg:xfrm>
                        <a:graphic>
                          <a:graphicData uri="http://schemas.openxmlformats.org/drawingml/2006/chart">
                            <c:chart xmlns:c="http://schemas.openxmlformats.org/drawingml/2006/chart" xmlns:r="http://schemas.openxmlformats.org/officeDocument/2006/relationships" r:id="rId23"/>
                          </a:graphicData>
                        </a:graphic>
                      </wpg:graphicFrame>
                      <wps:wsp>
                        <wps:cNvPr id="313873370" name="8 CuadroTexto"/>
                        <wps:cNvSpPr txBox="1"/>
                        <wps:spPr>
                          <a:xfrm>
                            <a:off x="1533525" y="23809"/>
                            <a:ext cx="2104911" cy="293703"/>
                          </a:xfrm>
                          <a:prstGeom prst="rect">
                            <a:avLst/>
                          </a:prstGeom>
                          <a:noFill/>
                          <a:ln>
                            <a:noFill/>
                          </a:ln>
                          <a:effectLst/>
                        </wps:spPr>
                        <wps:txbx>
                          <w:txbxContent>
                            <w:p w14:paraId="765A70E0" w14:textId="77777777" w:rsidR="003237FF" w:rsidRDefault="003237FF" w:rsidP="003237FF">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1CB5B0" id="10 Grupo" o:spid="_x0000_s1026" style="position:absolute;left:0;text-align:left;margin-left:396.3pt;margin-top:14.15pt;width:447.5pt;height:157.5pt;z-index:251674624;mso-position-horizontal:right;mso-position-horizontal-relative:margin;mso-width-relative:margin;mso-height-relative:margin" coordsize="48241,2490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Gráfico" o:spid="_x0000_s1027" type="#_x0000_t75" style="position:absolute;left:-51;top:-75;width:48328;height:2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">
                  <v:imagedata r:id="rId24" o:title=""/>
                  <o:lock v:ext="edit" aspectratio="f"/>
                </v:shape>
                <v:shapetype id="_x0000_t202" coordsize="21600,21600" o:spt="202" path="m,l,21600r21600,l21600,xe">
                  <v:stroke joinstyle="miter"/>
                  <v:path gradientshapeok="t" o:connecttype="rect"/>
                </v:shapetype>
                <v:shape id="8 CuadroTexto" o:spid="_x0000_s1028" type="#_x0000_t202" style="position:absolute;left:15335;top:238;width:21049;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" filled="f" stroked="f">
                  <v:textbox>
                    <w:txbxContent>
                      <w:p w14:paraId="765A70E0" w14:textId="77777777" w:rsidR="003237FF" w:rsidRDefault="003237FF" w:rsidP="003237FF">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v:textbox>
                </v:shape>
                <w10:wrap anchorx="margin"/>
              </v:group>
            </w:pict>
          </mc:Fallback>
        </mc:AlternateContent>
      </w:r>
    </w:p>
    <w:p w14:paraId="4461136D" w14:textId="43D07948" w:rsidR="003237FF" w:rsidRPr="00C953B4" w:rsidRDefault="003237FF" w:rsidP="003237FF">
      <w:pPr>
        <w:jc w:val="both"/>
        <w:rPr>
          <w:rFonts w:ascii="Montserrat" w:hAnsi="Montserrat" w:cs="Arial"/>
          <w:kern w:val="2"/>
          <w:lang w:eastAsia="en-US"/>
        </w:rPr>
      </w:pPr>
    </w:p>
    <w:p w14:paraId="5B331829" w14:textId="77777777" w:rsidR="003237FF" w:rsidRPr="00C953B4" w:rsidRDefault="003237FF" w:rsidP="003237FF">
      <w:pPr>
        <w:jc w:val="both"/>
        <w:rPr>
          <w:rFonts w:ascii="Montserrat" w:hAnsi="Montserrat" w:cs="Arial"/>
          <w:kern w:val="2"/>
          <w:lang w:eastAsia="en-US"/>
        </w:rPr>
      </w:pPr>
    </w:p>
    <w:p w14:paraId="5232B562" w14:textId="77777777" w:rsidR="003237FF" w:rsidRPr="00C953B4" w:rsidRDefault="003237FF" w:rsidP="003237FF">
      <w:pPr>
        <w:jc w:val="both"/>
        <w:rPr>
          <w:rFonts w:ascii="Montserrat" w:hAnsi="Montserrat" w:cs="Arial"/>
          <w:kern w:val="2"/>
          <w:lang w:eastAsia="en-US"/>
        </w:rPr>
      </w:pPr>
    </w:p>
    <w:p w14:paraId="7E655E4B" w14:textId="77777777" w:rsidR="003237FF" w:rsidRPr="00C953B4" w:rsidRDefault="003237FF" w:rsidP="003237FF">
      <w:pPr>
        <w:jc w:val="both"/>
        <w:rPr>
          <w:rFonts w:ascii="Montserrat" w:hAnsi="Montserrat" w:cs="Arial"/>
          <w:kern w:val="2"/>
          <w:lang w:eastAsia="en-US"/>
        </w:rPr>
      </w:pPr>
    </w:p>
    <w:p w14:paraId="11DF6074" w14:textId="77777777" w:rsidR="003237FF" w:rsidRPr="00C953B4" w:rsidRDefault="003237FF" w:rsidP="003237FF">
      <w:pPr>
        <w:jc w:val="both"/>
        <w:rPr>
          <w:rFonts w:ascii="Montserrat" w:hAnsi="Montserrat" w:cs="Arial"/>
          <w:kern w:val="2"/>
          <w:lang w:eastAsia="en-US"/>
        </w:rPr>
      </w:pPr>
    </w:p>
    <w:p w14:paraId="418409B3" w14:textId="77777777" w:rsidR="003237FF" w:rsidRPr="00C953B4" w:rsidRDefault="003237FF" w:rsidP="003237FF">
      <w:pPr>
        <w:jc w:val="both"/>
        <w:rPr>
          <w:rFonts w:ascii="Montserrat" w:hAnsi="Montserrat" w:cs="Arial"/>
          <w:kern w:val="2"/>
          <w:lang w:eastAsia="en-US"/>
        </w:rPr>
      </w:pPr>
    </w:p>
    <w:p w14:paraId="0174DD6A" w14:textId="77777777" w:rsidR="003237FF" w:rsidRPr="00C953B4" w:rsidRDefault="003237FF" w:rsidP="003237FF">
      <w:pPr>
        <w:jc w:val="both"/>
        <w:rPr>
          <w:rFonts w:ascii="Montserrat" w:hAnsi="Montserrat" w:cs="Arial"/>
          <w:kern w:val="2"/>
          <w:lang w:eastAsia="en-US"/>
        </w:rPr>
      </w:pPr>
    </w:p>
    <w:p w14:paraId="7B5EE69F" w14:textId="77777777" w:rsidR="003237FF" w:rsidRPr="00C953B4" w:rsidRDefault="003237FF" w:rsidP="003237FF">
      <w:pPr>
        <w:jc w:val="both"/>
        <w:rPr>
          <w:rFonts w:ascii="Montserrat" w:hAnsi="Montserrat" w:cs="Arial"/>
          <w:kern w:val="2"/>
          <w:lang w:eastAsia="en-US"/>
        </w:rPr>
      </w:pPr>
    </w:p>
    <w:p w14:paraId="02C26E08" w14:textId="77777777" w:rsidR="003237FF" w:rsidRPr="00C953B4" w:rsidRDefault="003237FF" w:rsidP="003237FF">
      <w:pPr>
        <w:jc w:val="both"/>
        <w:rPr>
          <w:rFonts w:ascii="Montserrat" w:hAnsi="Montserrat" w:cs="Arial"/>
          <w:kern w:val="2"/>
          <w:lang w:eastAsia="en-US"/>
        </w:rPr>
      </w:pPr>
    </w:p>
    <w:p w14:paraId="7803E91E" w14:textId="77777777" w:rsidR="003237FF" w:rsidRPr="00C953B4" w:rsidRDefault="003237FF" w:rsidP="003237FF">
      <w:pPr>
        <w:jc w:val="both"/>
        <w:rPr>
          <w:rFonts w:ascii="Montserrat" w:hAnsi="Montserrat" w:cs="Arial"/>
          <w:kern w:val="2"/>
          <w:lang w:eastAsia="en-US"/>
        </w:rPr>
      </w:pPr>
    </w:p>
    <w:p w14:paraId="4913174A" w14:textId="77777777" w:rsidR="003237FF" w:rsidRPr="00C953B4" w:rsidRDefault="003237FF" w:rsidP="003237FF">
      <w:pPr>
        <w:jc w:val="both"/>
        <w:rPr>
          <w:rFonts w:ascii="Montserrat" w:hAnsi="Montserrat" w:cs="Arial"/>
          <w:kern w:val="2"/>
          <w:lang w:eastAsia="en-US"/>
        </w:rPr>
      </w:pPr>
    </w:p>
    <w:p w14:paraId="7C71584E" w14:textId="77777777" w:rsidR="003237FF" w:rsidRPr="00C953B4" w:rsidRDefault="003237FF" w:rsidP="003237FF">
      <w:pPr>
        <w:jc w:val="both"/>
        <w:rPr>
          <w:rFonts w:ascii="Montserrat" w:hAnsi="Montserrat" w:cs="Arial"/>
          <w:kern w:val="2"/>
          <w:lang w:eastAsia="en-US"/>
        </w:rPr>
      </w:pPr>
    </w:p>
    <w:p w14:paraId="7ADA3F42" w14:textId="77777777" w:rsidR="003237FF" w:rsidRPr="00C953B4" w:rsidRDefault="003237FF" w:rsidP="003237FF">
      <w:pPr>
        <w:jc w:val="both"/>
        <w:rPr>
          <w:rFonts w:ascii="Montserrat" w:hAnsi="Montserrat" w:cs="Arial"/>
          <w:b/>
          <w:kern w:val="2"/>
          <w:lang w:eastAsia="en-US"/>
        </w:rPr>
      </w:pPr>
    </w:p>
    <w:p w14:paraId="404D73F6" w14:textId="6F8C77BB" w:rsidR="003237FF" w:rsidRPr="00C953B4" w:rsidRDefault="003237FF" w:rsidP="003237FF">
      <w:pPr>
        <w:jc w:val="both"/>
        <w:rPr>
          <w:rFonts w:ascii="Montserrat" w:hAnsi="Montserrat" w:cs="Arial"/>
          <w:b/>
          <w:kern w:val="2"/>
          <w:lang w:eastAsia="en-US"/>
        </w:rPr>
      </w:pPr>
      <w:r w:rsidRPr="00C953B4">
        <w:rPr>
          <w:rFonts w:ascii="Montserrat" w:hAnsi="Montserrat" w:cs="Arial"/>
          <w:b/>
          <w:kern w:val="2"/>
          <w:lang w:eastAsia="en-US"/>
        </w:rPr>
        <w:t>ACTOS DE EJEMPLARIDAD</w:t>
      </w:r>
    </w:p>
    <w:p w14:paraId="766685FF" w14:textId="77777777" w:rsidR="003237FF" w:rsidRPr="00C953B4" w:rsidRDefault="003237FF" w:rsidP="003237FF">
      <w:pPr>
        <w:ind w:left="360"/>
        <w:contextualSpacing/>
        <w:jc w:val="both"/>
        <w:rPr>
          <w:rFonts w:ascii="Montserrat" w:eastAsia="Arial Unicode MS" w:hAnsi="Montserrat" w:cs="Arial"/>
          <w:b/>
        </w:rPr>
      </w:pPr>
    </w:p>
    <w:p w14:paraId="562F7B7A" w14:textId="77777777" w:rsidR="003237FF" w:rsidRPr="00C953B4" w:rsidRDefault="003237FF" w:rsidP="003237FF">
      <w:pPr>
        <w:contextualSpacing/>
        <w:jc w:val="both"/>
        <w:rPr>
          <w:rFonts w:ascii="Montserrat" w:hAnsi="Montserrat" w:cs="Arial"/>
          <w:kern w:val="2"/>
          <w:lang w:eastAsia="en-US"/>
        </w:rPr>
      </w:pPr>
      <w:r w:rsidRPr="00C953B4">
        <w:rPr>
          <w:rFonts w:ascii="Montserrat" w:hAnsi="Montserrat" w:cs="Arial"/>
          <w:kern w:val="2"/>
          <w:lang w:eastAsia="en-US"/>
        </w:rPr>
        <w:t>Con la finalidad de incrementar la percepción de riesgo en los contribuyentes incumplidos, se llevaron a cabo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2024 es de 12 acciones, lográndose al tercer trimestre un avance del 100 % en relación a dicha meta.</w:t>
      </w:r>
    </w:p>
    <w:p w14:paraId="0427AB8C" w14:textId="77777777" w:rsidR="00C953B4" w:rsidRDefault="00C953B4" w:rsidP="003237FF">
      <w:pPr>
        <w:spacing w:after="200" w:line="276" w:lineRule="auto"/>
        <w:contextualSpacing/>
        <w:jc w:val="both"/>
        <w:rPr>
          <w:rFonts w:ascii="Montserrat" w:hAnsi="Montserrat"/>
          <w:noProof/>
          <w:lang w:val="es-MX"/>
        </w:rPr>
      </w:pPr>
    </w:p>
    <w:p w14:paraId="3A25FE28" w14:textId="285C9E0A" w:rsidR="003237FF" w:rsidRPr="00C953B4" w:rsidRDefault="00C953B4" w:rsidP="003237FF">
      <w:pPr>
        <w:spacing w:after="200" w:line="276" w:lineRule="auto"/>
        <w:contextualSpacing/>
        <w:jc w:val="both"/>
        <w:rPr>
          <w:rFonts w:ascii="Montserrat" w:hAnsi="Montserrat"/>
          <w:noProof/>
          <w:lang w:val="es-MX"/>
        </w:rPr>
      </w:pPr>
      <w:r w:rsidRPr="00C953B4">
        <w:rPr>
          <w:rFonts w:ascii="Montserrat" w:hAnsi="Montserrat"/>
          <w:noProof/>
          <w:lang w:val="es-MX"/>
        </w:rPr>
        <mc:AlternateContent>
          <mc:Choice Requires="wpg">
            <w:drawing>
              <wp:anchor distT="0" distB="0" distL="114300" distR="114300" simplePos="0" relativeHeight="251675648" behindDoc="0" locked="0" layoutInCell="1" allowOverlap="1" wp14:anchorId="74737F56" wp14:editId="79ABFE07">
                <wp:simplePos x="0" y="0"/>
                <wp:positionH relativeFrom="margin">
                  <wp:posOffset>12700</wp:posOffset>
                </wp:positionH>
                <wp:positionV relativeFrom="paragraph">
                  <wp:posOffset>210457</wp:posOffset>
                </wp:positionV>
                <wp:extent cx="5664200" cy="2197100"/>
                <wp:effectExtent l="0" t="0" r="12700" b="12700"/>
                <wp:wrapNone/>
                <wp:docPr id="6" name="Grupo 5">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microsoft.com/office/word/2010/wordprocessingGroup">
                    <wpg:wgp>
                      <wpg:cNvGrpSpPr/>
                      <wpg:grpSpPr>
                        <a:xfrm>
                          <a:off x="0" y="0"/>
                          <a:ext cx="5664200" cy="2197100"/>
                          <a:chOff x="0" y="0"/>
                          <a:chExt cx="5810249" cy="2381250"/>
                        </a:xfrm>
                      </wpg:grpSpPr>
                      <wpg:graphicFrame>
                        <wpg:cNvPr id="901703244" name="7 Gráfico">
                          <a:extLst>
                            <a:ext uri="{FF2B5EF4-FFF2-40B4-BE49-F238E27FC236}">
                              <a16:creationId xmlns:a16="http://schemas.microsoft.com/office/drawing/2014/main" id="{00000000-0008-0000-0400-000007000000}"/>
                            </a:ext>
                          </a:extLst>
                        </wpg:cNvPr>
                        <wpg:cNvFrPr/>
                        <wpg:xfrm>
                          <a:off x="0" y="0"/>
                          <a:ext cx="5810249" cy="2381250"/>
                        </wpg:xfrm>
                        <a:graphic>
                          <a:graphicData uri="http://schemas.openxmlformats.org/drawingml/2006/chart">
                            <c:chart xmlns:c="http://schemas.openxmlformats.org/drawingml/2006/chart" xmlns:r="http://schemas.openxmlformats.org/officeDocument/2006/relationships" r:id="rId25"/>
                          </a:graphicData>
                        </a:graphic>
                      </wpg:graphicFrame>
                      <wps:wsp>
                        <wps:cNvPr id="1181424537" name="11 CuadroTexto">
                          <a:extLst>
                            <a:ext uri="{FF2B5EF4-FFF2-40B4-BE49-F238E27FC236}">
                              <a16:creationId xmlns:a16="http://schemas.microsoft.com/office/drawing/2014/main" id="{00000000-0008-0000-0400-000008000000}"/>
                            </a:ext>
                          </a:extLst>
                        </wps:cNvPr>
                        <wps:cNvSpPr txBox="1"/>
                        <wps:spPr>
                          <a:xfrm>
                            <a:off x="2358605" y="174415"/>
                            <a:ext cx="1291012" cy="454227"/>
                          </a:xfrm>
                          <a:prstGeom prst="rect">
                            <a:avLst/>
                          </a:prstGeom>
                          <a:noFill/>
                          <a:ln>
                            <a:noFill/>
                          </a:ln>
                          <a:effectLst/>
                        </wps:spPr>
                        <wps:txbx>
                          <w:txbxContent>
                            <w:p w14:paraId="06A935E4" w14:textId="77777777" w:rsidR="003237FF" w:rsidRDefault="003237FF" w:rsidP="003237FF">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wps:txbx>
                        <wps:bodyPr wrap="square" rtlCol="0" anchor="t">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737F56" id="Grupo 5" o:spid="_x0000_s1029" style="position:absolute;left:0;text-align:left;margin-left:1pt;margin-top:16.55pt;width:446pt;height:173pt;z-index:251675648;mso-position-horizontal-relative:margin;mso-width-relative:margin" coordsize="58102,2381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">
                <v:shape id="7 Gráfico" o:spid="_x0000_s1030" type="#_x0000_t75" style="position:absolute;left:-62;top:-66;width:58216;height:23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">
                  <v:imagedata r:id="rId26" o:title=""/>
                  <o:lock v:ext="edit" aspectratio="f"/>
                </v:shape>
                <v:shape id="11 CuadroTexto" o:spid="_x0000_s1031" type="#_x0000_t202" style="position:absolute;left:23586;top:1744;width:12910;height: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" filled="f" stroked="f">
                  <v:textbox>
                    <w:txbxContent>
                      <w:p w14:paraId="06A935E4" w14:textId="77777777" w:rsidR="003237FF" w:rsidRDefault="003237FF" w:rsidP="003237FF">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v:textbox>
                </v:shape>
                <w10:wrap anchorx="margin"/>
              </v:group>
            </w:pict>
          </mc:Fallback>
        </mc:AlternateContent>
      </w:r>
    </w:p>
    <w:p w14:paraId="5E9408CA" w14:textId="78DAA694" w:rsidR="003237FF" w:rsidRPr="00C953B4" w:rsidRDefault="003237FF" w:rsidP="003237FF">
      <w:pPr>
        <w:spacing w:after="200" w:line="276" w:lineRule="auto"/>
        <w:contextualSpacing/>
        <w:jc w:val="both"/>
        <w:rPr>
          <w:rFonts w:ascii="Montserrat" w:hAnsi="Montserrat"/>
          <w:noProof/>
          <w:lang w:val="es-MX"/>
        </w:rPr>
      </w:pPr>
    </w:p>
    <w:p w14:paraId="7022196D" w14:textId="77777777" w:rsidR="003237FF" w:rsidRPr="00C953B4" w:rsidRDefault="003237FF" w:rsidP="003237FF">
      <w:pPr>
        <w:spacing w:after="200" w:line="276" w:lineRule="auto"/>
        <w:contextualSpacing/>
        <w:jc w:val="both"/>
        <w:rPr>
          <w:rFonts w:ascii="Montserrat" w:eastAsia="Arial Unicode MS" w:hAnsi="Montserrat" w:cs="Arial"/>
          <w:b/>
        </w:rPr>
      </w:pPr>
    </w:p>
    <w:p w14:paraId="673667F3" w14:textId="3D115880" w:rsidR="003237FF" w:rsidRPr="00C953B4" w:rsidRDefault="003237FF" w:rsidP="003237FF">
      <w:pPr>
        <w:spacing w:after="200" w:line="276" w:lineRule="auto"/>
        <w:contextualSpacing/>
        <w:jc w:val="center"/>
        <w:rPr>
          <w:rFonts w:ascii="Montserrat" w:eastAsia="Arial Unicode MS" w:hAnsi="Montserrat" w:cs="Arial"/>
          <w:b/>
        </w:rPr>
      </w:pPr>
    </w:p>
    <w:p w14:paraId="2D3ED123" w14:textId="77777777" w:rsidR="003237FF" w:rsidRPr="00C953B4" w:rsidRDefault="003237FF" w:rsidP="003237FF">
      <w:pPr>
        <w:spacing w:after="200" w:line="276" w:lineRule="auto"/>
        <w:contextualSpacing/>
        <w:jc w:val="both"/>
        <w:rPr>
          <w:rFonts w:ascii="Montserrat" w:eastAsia="Arial Unicode MS" w:hAnsi="Montserrat" w:cs="Arial"/>
          <w:b/>
        </w:rPr>
      </w:pPr>
    </w:p>
    <w:p w14:paraId="5DE9E8DB" w14:textId="77777777" w:rsidR="003237FF" w:rsidRPr="00C953B4" w:rsidRDefault="003237FF" w:rsidP="003237FF">
      <w:pPr>
        <w:spacing w:after="200" w:line="276" w:lineRule="auto"/>
        <w:contextualSpacing/>
        <w:jc w:val="both"/>
        <w:rPr>
          <w:rFonts w:ascii="Montserrat" w:eastAsia="Arial Unicode MS" w:hAnsi="Montserrat" w:cs="Arial"/>
          <w:b/>
        </w:rPr>
      </w:pPr>
    </w:p>
    <w:p w14:paraId="7196FBC9" w14:textId="77777777" w:rsidR="003237FF" w:rsidRPr="00C953B4" w:rsidRDefault="003237FF" w:rsidP="003237FF">
      <w:pPr>
        <w:jc w:val="both"/>
        <w:rPr>
          <w:rFonts w:ascii="Montserrat" w:hAnsi="Montserrat" w:cs="Arial"/>
          <w:b/>
          <w:kern w:val="2"/>
          <w:lang w:eastAsia="en-US"/>
        </w:rPr>
      </w:pPr>
    </w:p>
    <w:p w14:paraId="4846533E" w14:textId="77777777" w:rsidR="003237FF" w:rsidRPr="00C953B4" w:rsidRDefault="003237FF" w:rsidP="003237FF">
      <w:pPr>
        <w:jc w:val="both"/>
        <w:rPr>
          <w:rFonts w:ascii="Montserrat" w:hAnsi="Montserrat" w:cs="Arial"/>
          <w:b/>
          <w:kern w:val="2"/>
          <w:lang w:eastAsia="en-US"/>
        </w:rPr>
      </w:pPr>
    </w:p>
    <w:p w14:paraId="4CF449DD" w14:textId="77777777" w:rsidR="003237FF" w:rsidRPr="00C953B4" w:rsidRDefault="003237FF" w:rsidP="003237FF">
      <w:pPr>
        <w:jc w:val="both"/>
        <w:rPr>
          <w:rFonts w:ascii="Montserrat" w:hAnsi="Montserrat" w:cs="Arial"/>
          <w:b/>
          <w:kern w:val="2"/>
          <w:lang w:eastAsia="en-US"/>
        </w:rPr>
      </w:pPr>
    </w:p>
    <w:p w14:paraId="52C2830B" w14:textId="77777777" w:rsidR="003237FF" w:rsidRPr="00C953B4" w:rsidRDefault="003237FF" w:rsidP="003237FF">
      <w:pPr>
        <w:jc w:val="both"/>
        <w:rPr>
          <w:rFonts w:ascii="Montserrat" w:hAnsi="Montserrat" w:cs="Arial"/>
          <w:b/>
          <w:kern w:val="2"/>
          <w:lang w:eastAsia="en-US"/>
        </w:rPr>
      </w:pPr>
    </w:p>
    <w:p w14:paraId="0B2A1C15" w14:textId="77777777" w:rsidR="003237FF" w:rsidRPr="00C953B4" w:rsidRDefault="003237FF" w:rsidP="003237FF">
      <w:pPr>
        <w:jc w:val="both"/>
        <w:rPr>
          <w:rFonts w:ascii="Montserrat" w:hAnsi="Montserrat" w:cs="Arial"/>
          <w:b/>
          <w:kern w:val="2"/>
          <w:lang w:eastAsia="en-US"/>
        </w:rPr>
      </w:pPr>
    </w:p>
    <w:p w14:paraId="6984185C" w14:textId="77777777" w:rsidR="003237FF" w:rsidRPr="00C953B4" w:rsidRDefault="003237FF" w:rsidP="003237FF">
      <w:pPr>
        <w:jc w:val="both"/>
        <w:rPr>
          <w:rFonts w:ascii="Montserrat" w:hAnsi="Montserrat" w:cs="Arial"/>
          <w:b/>
          <w:kern w:val="2"/>
          <w:lang w:eastAsia="en-US"/>
        </w:rPr>
      </w:pPr>
    </w:p>
    <w:p w14:paraId="0BA76D3F" w14:textId="77777777" w:rsidR="003237FF" w:rsidRPr="00C953B4" w:rsidRDefault="003237FF" w:rsidP="003237FF">
      <w:pPr>
        <w:contextualSpacing/>
        <w:jc w:val="both"/>
        <w:rPr>
          <w:rFonts w:ascii="Montserrat" w:hAnsi="Montserrat" w:cs="Arial"/>
          <w:kern w:val="2"/>
          <w:lang w:eastAsia="en-US"/>
        </w:rPr>
      </w:pPr>
    </w:p>
    <w:p w14:paraId="212377E4" w14:textId="77777777" w:rsidR="003237FF" w:rsidRPr="00C953B4" w:rsidRDefault="003237FF" w:rsidP="003237FF">
      <w:pPr>
        <w:jc w:val="both"/>
        <w:rPr>
          <w:rFonts w:ascii="Montserrat" w:hAnsi="Montserrat" w:cs="Arial"/>
          <w:b/>
          <w:kern w:val="2"/>
          <w:lang w:eastAsia="en-US"/>
        </w:rPr>
      </w:pPr>
    </w:p>
    <w:p w14:paraId="6CA138B0" w14:textId="77777777" w:rsidR="003237FF" w:rsidRPr="00C953B4" w:rsidRDefault="003237FF" w:rsidP="003237FF">
      <w:pPr>
        <w:jc w:val="both"/>
        <w:rPr>
          <w:rFonts w:ascii="Montserrat" w:hAnsi="Montserrat" w:cs="Arial"/>
          <w:b/>
          <w:kern w:val="2"/>
          <w:lang w:eastAsia="en-US"/>
        </w:rPr>
      </w:pPr>
    </w:p>
    <w:p w14:paraId="3116CBFA" w14:textId="68BB1854" w:rsidR="003237FF" w:rsidRPr="00C953B4" w:rsidRDefault="003237FF" w:rsidP="003237FF">
      <w:pPr>
        <w:jc w:val="both"/>
        <w:rPr>
          <w:rFonts w:ascii="Montserrat" w:hAnsi="Montserrat" w:cs="Arial"/>
          <w:b/>
          <w:kern w:val="2"/>
          <w:lang w:eastAsia="en-US"/>
        </w:rPr>
      </w:pPr>
      <w:r w:rsidRPr="00C953B4">
        <w:rPr>
          <w:rFonts w:ascii="Montserrat" w:hAnsi="Montserrat" w:cs="Arial"/>
          <w:b/>
          <w:kern w:val="2"/>
          <w:lang w:eastAsia="en-US"/>
        </w:rPr>
        <w:t>CIFRAS COBRADAS Y VIRTUALES DEL PROGRAMA OPERATIVO ANUAL</w:t>
      </w:r>
    </w:p>
    <w:p w14:paraId="529BF13D" w14:textId="77777777" w:rsidR="003237FF" w:rsidRPr="00C953B4" w:rsidRDefault="003237FF" w:rsidP="003237FF">
      <w:pPr>
        <w:jc w:val="both"/>
        <w:rPr>
          <w:rFonts w:ascii="Montserrat" w:hAnsi="Montserrat" w:cs="Arial"/>
          <w:b/>
          <w:kern w:val="2"/>
          <w:lang w:eastAsia="en-US"/>
        </w:rPr>
      </w:pPr>
    </w:p>
    <w:p w14:paraId="43828C93" w14:textId="77777777" w:rsidR="003237FF" w:rsidRPr="00C953B4" w:rsidRDefault="003237FF" w:rsidP="003237FF">
      <w:pPr>
        <w:jc w:val="both"/>
        <w:rPr>
          <w:rFonts w:ascii="Montserrat" w:hAnsi="Montserrat" w:cs="Arial"/>
          <w:kern w:val="2"/>
          <w:lang w:eastAsia="en-US"/>
        </w:rPr>
      </w:pPr>
      <w:r w:rsidRPr="00C953B4">
        <w:rPr>
          <w:rFonts w:ascii="Montserrat" w:hAnsi="Montserrat" w:cs="Arial"/>
          <w:kern w:val="2"/>
          <w:lang w:eastAsia="en-US"/>
        </w:rPr>
        <w:t>Con la finalidad de promover la eficiencia de la función de fiscalización, así como para lograr una cobertura más uniforme con el universo de contribuyentes, a través del Programa Operativo Anual, se concertó una meta recaudatoria para el ejercicio 2024, obteniéndose al mes de septiembre los siguientes avances:</w:t>
      </w:r>
    </w:p>
    <w:p w14:paraId="0257ADF6" w14:textId="77777777" w:rsidR="003237FF" w:rsidRPr="00C953B4" w:rsidRDefault="003237FF" w:rsidP="003237FF">
      <w:pPr>
        <w:jc w:val="both"/>
        <w:rPr>
          <w:rFonts w:ascii="Montserrat" w:hAnsi="Montserrat" w:cs="Arial"/>
          <w:kern w:val="2"/>
          <w:lang w:eastAsia="en-US"/>
        </w:rPr>
      </w:pPr>
    </w:p>
    <w:p w14:paraId="78B95F93" w14:textId="77777777" w:rsidR="003237FF" w:rsidRPr="00C953B4" w:rsidRDefault="003237FF" w:rsidP="003237FF">
      <w:pPr>
        <w:jc w:val="both"/>
        <w:rPr>
          <w:rFonts w:ascii="Montserrat" w:hAnsi="Montserrat" w:cs="Arial"/>
          <w:color w:val="FF0000"/>
          <w:lang w:val="es-MX"/>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3237FF" w:rsidRPr="00C953B4" w14:paraId="379E5BEF" w14:textId="77777777" w:rsidTr="00FA0078">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7A9486DB" w14:textId="77777777" w:rsidR="003237FF" w:rsidRPr="00C953B4" w:rsidRDefault="003237FF" w:rsidP="00FA0078">
            <w:pPr>
              <w:jc w:val="both"/>
              <w:rPr>
                <w:rFonts w:ascii="Montserrat" w:hAnsi="Montserrat" w:cs="Arial"/>
                <w:b/>
                <w:bCs/>
                <w:color w:val="FFFFFF"/>
                <w:lang w:val="es-MX"/>
              </w:rPr>
            </w:pPr>
            <w:r w:rsidRPr="00C953B4">
              <w:rPr>
                <w:rFonts w:ascii="Montserrat" w:hAnsi="Montserrat" w:cs="Arial"/>
                <w:b/>
                <w:bCs/>
                <w:color w:val="FFFFFF"/>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2F068B73" w14:textId="77777777" w:rsidR="003237FF" w:rsidRPr="00C953B4" w:rsidRDefault="003237FF" w:rsidP="00FA0078">
            <w:pPr>
              <w:jc w:val="center"/>
              <w:rPr>
                <w:rFonts w:ascii="Montserrat" w:hAnsi="Montserrat" w:cs="Arial"/>
                <w:b/>
                <w:bCs/>
                <w:color w:val="FFFFFF"/>
                <w:lang w:val="es-MX"/>
              </w:rPr>
            </w:pPr>
            <w:r w:rsidRPr="00C953B4">
              <w:rPr>
                <w:rFonts w:ascii="Montserrat" w:hAnsi="Montserrat" w:cs="Arial"/>
                <w:b/>
                <w:bCs/>
                <w:color w:val="FFFFFF"/>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2920996A" w14:textId="77777777" w:rsidR="003237FF" w:rsidRPr="00C953B4" w:rsidRDefault="003237FF" w:rsidP="00FA0078">
            <w:pPr>
              <w:jc w:val="center"/>
              <w:rPr>
                <w:rFonts w:ascii="Montserrat" w:hAnsi="Montserrat" w:cs="Arial"/>
                <w:b/>
                <w:bCs/>
                <w:color w:val="FFFFFF"/>
                <w:lang w:val="es-MX"/>
              </w:rPr>
            </w:pPr>
            <w:r w:rsidRPr="00C953B4">
              <w:rPr>
                <w:rFonts w:ascii="Montserrat" w:hAnsi="Montserrat" w:cs="Arial"/>
                <w:b/>
                <w:bCs/>
                <w:color w:val="FFFFFF"/>
                <w:lang w:val="es-MX"/>
              </w:rPr>
              <w:t xml:space="preserve">RECAUDADO          </w:t>
            </w:r>
            <w:r w:rsidRPr="00C953B4">
              <w:rPr>
                <w:rFonts w:ascii="Montserrat" w:hAnsi="Montserrat" w:cs="Arial"/>
                <w:b/>
                <w:bCs/>
                <w:color w:val="FFFFFF"/>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62AA3ACB" w14:textId="77777777" w:rsidR="003237FF" w:rsidRPr="00C953B4" w:rsidRDefault="003237FF" w:rsidP="00FA0078">
            <w:pPr>
              <w:jc w:val="center"/>
              <w:rPr>
                <w:rFonts w:ascii="Montserrat" w:hAnsi="Montserrat" w:cs="Arial"/>
                <w:b/>
                <w:bCs/>
                <w:color w:val="FFFFFF"/>
                <w:lang w:val="es-MX"/>
              </w:rPr>
            </w:pPr>
            <w:r w:rsidRPr="00C953B4">
              <w:rPr>
                <w:rFonts w:ascii="Montserrat" w:hAnsi="Montserrat" w:cs="Arial"/>
                <w:b/>
                <w:bCs/>
                <w:color w:val="FFFFFF"/>
                <w:lang w:val="es-MX"/>
              </w:rPr>
              <w:t>AVANCE</w:t>
            </w:r>
          </w:p>
        </w:tc>
      </w:tr>
      <w:tr w:rsidR="003237FF" w:rsidRPr="00C953B4" w14:paraId="28645B72" w14:textId="77777777" w:rsidTr="00FA0078">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51399FAA" w14:textId="77777777" w:rsidR="003237FF" w:rsidRPr="00C953B4" w:rsidRDefault="003237FF" w:rsidP="00FA0078">
            <w:pPr>
              <w:jc w:val="both"/>
              <w:rPr>
                <w:rFonts w:ascii="Montserrat" w:hAnsi="Montserrat" w:cs="Arial"/>
                <w:color w:val="000000"/>
                <w:lang w:val="es-MX"/>
              </w:rPr>
            </w:pPr>
            <w:r w:rsidRPr="00C953B4">
              <w:rPr>
                <w:rFonts w:ascii="Montserrat" w:hAnsi="Montserrat" w:cs="Arial"/>
                <w:color w:val="000000"/>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2AAF0D4F"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$140,000</w:t>
            </w:r>
          </w:p>
        </w:tc>
        <w:tc>
          <w:tcPr>
            <w:tcW w:w="2740" w:type="dxa"/>
            <w:tcBorders>
              <w:top w:val="single" w:sz="4" w:space="0" w:color="DA9694"/>
              <w:left w:val="nil"/>
              <w:bottom w:val="single" w:sz="4" w:space="0" w:color="DA9694"/>
              <w:right w:val="nil"/>
            </w:tcBorders>
            <w:shd w:val="clear" w:color="000000" w:fill="F2DBDB"/>
            <w:vAlign w:val="center"/>
            <w:hideMark/>
          </w:tcPr>
          <w:p w14:paraId="189E4D4B"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$ 148,504</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0C07F590"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106.0 %</w:t>
            </w:r>
          </w:p>
        </w:tc>
      </w:tr>
      <w:tr w:rsidR="003237FF" w:rsidRPr="00C953B4" w14:paraId="166AC3B8" w14:textId="77777777" w:rsidTr="00FA0078">
        <w:trPr>
          <w:trHeight w:val="420"/>
          <w:jc w:val="center"/>
        </w:trPr>
        <w:tc>
          <w:tcPr>
            <w:tcW w:w="1900" w:type="dxa"/>
            <w:tcBorders>
              <w:top w:val="single" w:sz="4" w:space="0" w:color="DA9694"/>
              <w:left w:val="single" w:sz="4" w:space="0" w:color="DA9694"/>
              <w:bottom w:val="single" w:sz="4" w:space="0" w:color="DA9694"/>
              <w:right w:val="nil"/>
            </w:tcBorders>
            <w:shd w:val="clear" w:color="auto" w:fill="auto"/>
            <w:vAlign w:val="center"/>
            <w:hideMark/>
          </w:tcPr>
          <w:p w14:paraId="2D14FEDB" w14:textId="77777777" w:rsidR="003237FF" w:rsidRPr="00C953B4" w:rsidRDefault="003237FF" w:rsidP="00FA0078">
            <w:pPr>
              <w:jc w:val="both"/>
              <w:rPr>
                <w:rFonts w:ascii="Montserrat" w:hAnsi="Montserrat" w:cs="Arial"/>
                <w:color w:val="000000"/>
                <w:lang w:val="es-MX"/>
              </w:rPr>
            </w:pPr>
            <w:r w:rsidRPr="00C953B4">
              <w:rPr>
                <w:rFonts w:ascii="Montserrat" w:hAnsi="Montserrat" w:cs="Arial"/>
                <w:color w:val="000000"/>
                <w:lang w:val="es-MX"/>
              </w:rPr>
              <w:t>Cifras Virtuales</w:t>
            </w:r>
          </w:p>
        </w:tc>
        <w:tc>
          <w:tcPr>
            <w:tcW w:w="1900" w:type="dxa"/>
            <w:tcBorders>
              <w:top w:val="single" w:sz="4" w:space="0" w:color="DA9694"/>
              <w:left w:val="nil"/>
              <w:bottom w:val="single" w:sz="4" w:space="0" w:color="DA9694"/>
              <w:right w:val="nil"/>
            </w:tcBorders>
            <w:shd w:val="clear" w:color="auto" w:fill="auto"/>
            <w:vAlign w:val="center"/>
            <w:hideMark/>
          </w:tcPr>
          <w:p w14:paraId="1981D441"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$42,000</w:t>
            </w:r>
          </w:p>
        </w:tc>
        <w:tc>
          <w:tcPr>
            <w:tcW w:w="2740" w:type="dxa"/>
            <w:tcBorders>
              <w:top w:val="single" w:sz="4" w:space="0" w:color="DA9694"/>
              <w:left w:val="nil"/>
              <w:bottom w:val="single" w:sz="4" w:space="0" w:color="DA9694"/>
              <w:right w:val="nil"/>
            </w:tcBorders>
            <w:shd w:val="clear" w:color="auto" w:fill="auto"/>
            <w:vAlign w:val="center"/>
            <w:hideMark/>
          </w:tcPr>
          <w:p w14:paraId="24B87A09"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$ 83,143</w:t>
            </w:r>
          </w:p>
        </w:tc>
        <w:tc>
          <w:tcPr>
            <w:tcW w:w="1900" w:type="dxa"/>
            <w:tcBorders>
              <w:top w:val="single" w:sz="4" w:space="0" w:color="DA9694"/>
              <w:left w:val="nil"/>
              <w:bottom w:val="single" w:sz="4" w:space="0" w:color="DA9694"/>
              <w:right w:val="single" w:sz="4" w:space="0" w:color="DA9694"/>
            </w:tcBorders>
            <w:shd w:val="clear" w:color="auto" w:fill="auto"/>
            <w:vAlign w:val="center"/>
            <w:hideMark/>
          </w:tcPr>
          <w:p w14:paraId="542E7C7E"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197.9 %</w:t>
            </w:r>
          </w:p>
        </w:tc>
      </w:tr>
    </w:tbl>
    <w:p w14:paraId="18E32A6F" w14:textId="77777777" w:rsidR="003237FF" w:rsidRPr="00C953B4" w:rsidRDefault="003237FF" w:rsidP="003237FF">
      <w:pPr>
        <w:ind w:left="284"/>
        <w:jc w:val="both"/>
        <w:rPr>
          <w:rFonts w:ascii="Montserrat" w:eastAsia="Arial Unicode MS" w:hAnsi="Montserrat" w:cs="Arial"/>
          <w:b/>
          <w:lang w:val="es-MX"/>
        </w:rPr>
      </w:pPr>
    </w:p>
    <w:p w14:paraId="691C7F1F" w14:textId="77777777" w:rsidR="003237FF" w:rsidRPr="00C953B4" w:rsidRDefault="003237FF" w:rsidP="003237FF">
      <w:pPr>
        <w:jc w:val="both"/>
        <w:rPr>
          <w:rFonts w:ascii="Montserrat" w:hAnsi="Montserrat" w:cs="Arial"/>
          <w:b/>
          <w:kern w:val="2"/>
          <w:lang w:eastAsia="en-US"/>
        </w:rPr>
      </w:pPr>
    </w:p>
    <w:p w14:paraId="48AAEB6E" w14:textId="77777777" w:rsidR="004B3002" w:rsidRDefault="004B3002">
      <w:pPr>
        <w:rPr>
          <w:rFonts w:ascii="Montserrat" w:hAnsi="Montserrat" w:cs="Arial"/>
          <w:b/>
          <w:kern w:val="2"/>
          <w:lang w:eastAsia="en-US"/>
        </w:rPr>
      </w:pPr>
      <w:r>
        <w:rPr>
          <w:rFonts w:ascii="Montserrat" w:hAnsi="Montserrat" w:cs="Arial"/>
          <w:b/>
          <w:kern w:val="2"/>
          <w:lang w:eastAsia="en-US"/>
        </w:rPr>
        <w:br w:type="page"/>
      </w:r>
    </w:p>
    <w:p w14:paraId="0545B1B1" w14:textId="48B7A7BD" w:rsidR="003237FF" w:rsidRPr="00C953B4" w:rsidRDefault="003237FF" w:rsidP="003237FF">
      <w:pPr>
        <w:jc w:val="both"/>
        <w:rPr>
          <w:rFonts w:ascii="Montserrat" w:hAnsi="Montserrat" w:cs="Arial"/>
          <w:b/>
          <w:kern w:val="2"/>
          <w:lang w:eastAsia="en-US"/>
        </w:rPr>
      </w:pPr>
      <w:r w:rsidRPr="00C953B4">
        <w:rPr>
          <w:rFonts w:ascii="Montserrat" w:hAnsi="Montserrat" w:cs="Arial"/>
          <w:b/>
          <w:kern w:val="2"/>
          <w:lang w:eastAsia="en-US"/>
        </w:rPr>
        <w:lastRenderedPageBreak/>
        <w:t>IMPUESTOS ESTATALES</w:t>
      </w:r>
    </w:p>
    <w:p w14:paraId="5DBE7637" w14:textId="77777777" w:rsidR="003237FF" w:rsidRPr="00C953B4" w:rsidRDefault="003237FF" w:rsidP="003237FF">
      <w:pPr>
        <w:jc w:val="both"/>
        <w:rPr>
          <w:rFonts w:ascii="Montserrat" w:hAnsi="Montserrat" w:cs="Arial"/>
          <w:b/>
          <w:kern w:val="2"/>
          <w:lang w:eastAsia="en-US"/>
        </w:rPr>
      </w:pPr>
    </w:p>
    <w:p w14:paraId="6ECA0E8B" w14:textId="6603977C" w:rsidR="003237FF" w:rsidRPr="00C953B4" w:rsidRDefault="003237FF" w:rsidP="003237FF">
      <w:pPr>
        <w:jc w:val="both"/>
        <w:rPr>
          <w:rFonts w:ascii="Montserrat" w:hAnsi="Montserrat" w:cs="Arial"/>
          <w:b/>
          <w:kern w:val="2"/>
          <w:lang w:eastAsia="en-US"/>
        </w:rPr>
      </w:pPr>
      <w:r w:rsidRPr="00C953B4">
        <w:rPr>
          <w:rFonts w:ascii="Montserrat" w:hAnsi="Montserrat" w:cs="Arial"/>
          <w:b/>
          <w:kern w:val="2"/>
          <w:lang w:eastAsia="en-US"/>
        </w:rPr>
        <w:t>ACTOS DE FISCALIZACIÓN</w:t>
      </w:r>
    </w:p>
    <w:p w14:paraId="589CE048" w14:textId="77777777" w:rsidR="003237FF" w:rsidRPr="00C953B4" w:rsidRDefault="003237FF" w:rsidP="003237FF">
      <w:pPr>
        <w:jc w:val="both"/>
        <w:rPr>
          <w:rFonts w:ascii="Montserrat" w:hAnsi="Montserrat" w:cs="Arial"/>
          <w:b/>
          <w:kern w:val="2"/>
          <w:lang w:eastAsia="en-US"/>
        </w:rPr>
      </w:pPr>
    </w:p>
    <w:p w14:paraId="155518AE" w14:textId="77777777" w:rsidR="003237FF" w:rsidRPr="00C953B4" w:rsidRDefault="003237FF" w:rsidP="003237FF">
      <w:pPr>
        <w:spacing w:after="200" w:line="276" w:lineRule="auto"/>
        <w:contextualSpacing/>
        <w:jc w:val="both"/>
        <w:rPr>
          <w:rFonts w:ascii="Montserrat" w:hAnsi="Montserrat" w:cs="Arial"/>
          <w:kern w:val="2"/>
          <w:lang w:eastAsia="en-US"/>
        </w:rPr>
      </w:pPr>
      <w:r w:rsidRPr="00C953B4">
        <w:rPr>
          <w:rFonts w:ascii="Montserrat" w:hAnsi="Montserrat" w:cs="Arial"/>
          <w:kern w:val="2"/>
          <w:lang w:eastAsia="en-US"/>
        </w:rPr>
        <w:t>Derivado de las atribuciones a cargo de esta Secretaría, relacionadas con la verificación del cumplimiento de las obligaciones fiscales de los contribuyentes, al tercer trimestre de 2024, se han realizado 230 acciones de fiscalización, buscando con ello incrementar la percepción de riesgo en los contribuyentes incumplidos, así como el fortalecimiento de las finanzas públicas motivado por el correcto pago de las contribuciones; cabe señalar que de acuerdo a la concentración del Programa Operativo anual 2024 de impuestos estatales, se tiene una meta anual de 207 actos, lográndose al tercer trimestre una avance del 111.11% respecto a dicha meta.</w:t>
      </w:r>
    </w:p>
    <w:p w14:paraId="7CA07B9C" w14:textId="77777777" w:rsidR="003237FF" w:rsidRPr="00C953B4" w:rsidRDefault="003237FF" w:rsidP="003237FF">
      <w:pPr>
        <w:spacing w:after="200" w:line="276" w:lineRule="auto"/>
        <w:contextualSpacing/>
        <w:jc w:val="both"/>
        <w:rPr>
          <w:rFonts w:ascii="Montserrat" w:hAnsi="Montserrat" w:cs="Arial"/>
          <w:kern w:val="2"/>
          <w:lang w:eastAsia="en-US"/>
        </w:rPr>
      </w:pPr>
    </w:p>
    <w:p w14:paraId="33B31CEA" w14:textId="3ACAE59A" w:rsidR="003237FF" w:rsidRPr="00C953B4" w:rsidRDefault="003237FF" w:rsidP="00C953B4">
      <w:pPr>
        <w:keepNext/>
        <w:spacing w:after="200" w:line="276" w:lineRule="auto"/>
        <w:contextualSpacing/>
        <w:jc w:val="both"/>
        <w:rPr>
          <w:rFonts w:ascii="Montserrat" w:hAnsi="Montserrat" w:cs="Arial"/>
          <w:b/>
          <w:kern w:val="2"/>
          <w:lang w:eastAsia="en-US"/>
        </w:rPr>
      </w:pPr>
      <w:r w:rsidRPr="00C953B4">
        <w:rPr>
          <w:rFonts w:ascii="Montserrat" w:hAnsi="Montserrat" w:cs="Arial"/>
          <w:b/>
          <w:kern w:val="2"/>
          <w:lang w:eastAsia="en-US"/>
        </w:rPr>
        <w:t>CIFRAS COBRADAS PROGRAMA OPERATIVO ANUAL ESTATAL</w:t>
      </w:r>
    </w:p>
    <w:p w14:paraId="7968FF9E" w14:textId="77777777" w:rsidR="003237FF" w:rsidRPr="00C953B4" w:rsidRDefault="003237FF" w:rsidP="00C953B4">
      <w:pPr>
        <w:spacing w:after="200" w:line="276" w:lineRule="auto"/>
        <w:contextualSpacing/>
        <w:jc w:val="both"/>
        <w:rPr>
          <w:rFonts w:ascii="Montserrat" w:hAnsi="Montserrat" w:cs="Arial"/>
          <w:kern w:val="2"/>
          <w:lang w:eastAsia="en-US"/>
        </w:rPr>
      </w:pPr>
    </w:p>
    <w:p w14:paraId="4C233C98" w14:textId="77777777" w:rsidR="003237FF" w:rsidRPr="00C953B4" w:rsidRDefault="003237FF" w:rsidP="003237FF">
      <w:pPr>
        <w:spacing w:after="200" w:line="276" w:lineRule="auto"/>
        <w:contextualSpacing/>
        <w:jc w:val="both"/>
        <w:rPr>
          <w:rFonts w:ascii="Montserrat" w:hAnsi="Montserrat" w:cs="Arial"/>
          <w:kern w:val="2"/>
          <w:lang w:eastAsia="en-US"/>
        </w:rPr>
      </w:pPr>
      <w:r w:rsidRPr="00C953B4">
        <w:rPr>
          <w:rFonts w:ascii="Montserrat" w:hAnsi="Montserrat" w:cs="Arial"/>
          <w:kern w:val="2"/>
          <w:lang w:eastAsia="en-US"/>
        </w:rPr>
        <w:t xml:space="preserve">A través del Programa Operativo Anual, se concertó una meta recaudatoria para el ejercicio 2024, obteniéndose al mes de septiembre los siguientes avances: </w:t>
      </w:r>
    </w:p>
    <w:p w14:paraId="7ED87825" w14:textId="77777777" w:rsidR="003237FF" w:rsidRPr="00C953B4" w:rsidRDefault="003237FF" w:rsidP="003237FF">
      <w:pPr>
        <w:spacing w:after="200" w:line="276" w:lineRule="auto"/>
        <w:contextualSpacing/>
        <w:jc w:val="both"/>
        <w:rPr>
          <w:rFonts w:ascii="Montserrat" w:hAnsi="Montserrat" w:cs="Arial"/>
          <w:kern w:val="2"/>
          <w:lang w:eastAsia="en-US"/>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3237FF" w:rsidRPr="00C953B4" w14:paraId="0CB93E74" w14:textId="77777777" w:rsidTr="00FA0078">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518616FB" w14:textId="77777777" w:rsidR="003237FF" w:rsidRPr="00C953B4" w:rsidRDefault="003237FF" w:rsidP="00FA0078">
            <w:pPr>
              <w:jc w:val="both"/>
              <w:rPr>
                <w:rFonts w:ascii="Montserrat" w:hAnsi="Montserrat" w:cs="Arial"/>
                <w:b/>
                <w:bCs/>
                <w:color w:val="FFFFFF"/>
                <w:lang w:val="es-MX"/>
              </w:rPr>
            </w:pPr>
            <w:r w:rsidRPr="00C953B4">
              <w:rPr>
                <w:rFonts w:ascii="Montserrat" w:hAnsi="Montserrat" w:cs="Arial"/>
                <w:b/>
                <w:bCs/>
                <w:color w:val="FFFFFF"/>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202C789F" w14:textId="77777777" w:rsidR="003237FF" w:rsidRPr="00C953B4" w:rsidRDefault="003237FF" w:rsidP="00FA0078">
            <w:pPr>
              <w:jc w:val="center"/>
              <w:rPr>
                <w:rFonts w:ascii="Montserrat" w:hAnsi="Montserrat" w:cs="Arial"/>
                <w:b/>
                <w:bCs/>
                <w:color w:val="FFFFFF"/>
                <w:lang w:val="es-MX"/>
              </w:rPr>
            </w:pPr>
            <w:r w:rsidRPr="00C953B4">
              <w:rPr>
                <w:rFonts w:ascii="Montserrat" w:hAnsi="Montserrat" w:cs="Arial"/>
                <w:b/>
                <w:bCs/>
                <w:color w:val="FFFFFF"/>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651C32A4" w14:textId="77777777" w:rsidR="003237FF" w:rsidRPr="00C953B4" w:rsidRDefault="003237FF" w:rsidP="00FA0078">
            <w:pPr>
              <w:jc w:val="center"/>
              <w:rPr>
                <w:rFonts w:ascii="Montserrat" w:hAnsi="Montserrat" w:cs="Arial"/>
                <w:b/>
                <w:bCs/>
                <w:color w:val="FFFFFF"/>
                <w:lang w:val="es-MX"/>
              </w:rPr>
            </w:pPr>
            <w:r w:rsidRPr="00C953B4">
              <w:rPr>
                <w:rFonts w:ascii="Montserrat" w:hAnsi="Montserrat" w:cs="Arial"/>
                <w:b/>
                <w:bCs/>
                <w:color w:val="FFFFFF"/>
                <w:lang w:val="es-MX"/>
              </w:rPr>
              <w:t xml:space="preserve">RECAUDADO          </w:t>
            </w:r>
            <w:r w:rsidRPr="00C953B4">
              <w:rPr>
                <w:rFonts w:ascii="Montserrat" w:hAnsi="Montserrat" w:cs="Arial"/>
                <w:b/>
                <w:bCs/>
                <w:color w:val="FFFFFF"/>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05CFB757" w14:textId="77777777" w:rsidR="003237FF" w:rsidRPr="00C953B4" w:rsidRDefault="003237FF" w:rsidP="00FA0078">
            <w:pPr>
              <w:jc w:val="center"/>
              <w:rPr>
                <w:rFonts w:ascii="Montserrat" w:hAnsi="Montserrat" w:cs="Arial"/>
                <w:b/>
                <w:bCs/>
                <w:color w:val="FFFFFF"/>
                <w:lang w:val="es-MX"/>
              </w:rPr>
            </w:pPr>
            <w:r w:rsidRPr="00C953B4">
              <w:rPr>
                <w:rFonts w:ascii="Montserrat" w:hAnsi="Montserrat" w:cs="Arial"/>
                <w:b/>
                <w:bCs/>
                <w:color w:val="FFFFFF"/>
                <w:lang w:val="es-MX"/>
              </w:rPr>
              <w:t>AVANCE</w:t>
            </w:r>
          </w:p>
        </w:tc>
      </w:tr>
      <w:tr w:rsidR="003237FF" w:rsidRPr="00C953B4" w14:paraId="2741635E" w14:textId="77777777" w:rsidTr="00FA0078">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399DA44F" w14:textId="77777777" w:rsidR="003237FF" w:rsidRPr="00C953B4" w:rsidRDefault="003237FF" w:rsidP="00FA0078">
            <w:pPr>
              <w:jc w:val="both"/>
              <w:rPr>
                <w:rFonts w:ascii="Montserrat" w:hAnsi="Montserrat" w:cs="Arial"/>
                <w:color w:val="000000"/>
                <w:lang w:val="es-MX"/>
              </w:rPr>
            </w:pPr>
            <w:r w:rsidRPr="00C953B4">
              <w:rPr>
                <w:rFonts w:ascii="Montserrat" w:hAnsi="Montserrat" w:cs="Arial"/>
                <w:color w:val="000000"/>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6FB53F11"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$14,500</w:t>
            </w:r>
          </w:p>
        </w:tc>
        <w:tc>
          <w:tcPr>
            <w:tcW w:w="2740" w:type="dxa"/>
            <w:tcBorders>
              <w:top w:val="single" w:sz="4" w:space="0" w:color="DA9694"/>
              <w:left w:val="nil"/>
              <w:bottom w:val="single" w:sz="4" w:space="0" w:color="DA9694"/>
              <w:right w:val="nil"/>
            </w:tcBorders>
            <w:shd w:val="clear" w:color="000000" w:fill="F2DBDB"/>
            <w:vAlign w:val="center"/>
            <w:hideMark/>
          </w:tcPr>
          <w:p w14:paraId="17415D40"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$ 48,701</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41A30D48" w14:textId="77777777" w:rsidR="003237FF" w:rsidRPr="00C953B4" w:rsidRDefault="003237FF" w:rsidP="00FA0078">
            <w:pPr>
              <w:jc w:val="center"/>
              <w:rPr>
                <w:rFonts w:ascii="Montserrat" w:hAnsi="Montserrat" w:cs="Arial"/>
                <w:color w:val="000000"/>
                <w:lang w:val="es-MX"/>
              </w:rPr>
            </w:pPr>
            <w:r w:rsidRPr="00C953B4">
              <w:rPr>
                <w:rFonts w:ascii="Montserrat" w:hAnsi="Montserrat" w:cs="Arial"/>
                <w:color w:val="000000"/>
                <w:lang w:val="es-MX"/>
              </w:rPr>
              <w:t>335.8 %</w:t>
            </w:r>
          </w:p>
        </w:tc>
      </w:tr>
    </w:tbl>
    <w:p w14:paraId="128DC952" w14:textId="77777777" w:rsidR="003237FF" w:rsidRPr="00C953B4" w:rsidRDefault="003237FF" w:rsidP="003237FF">
      <w:pPr>
        <w:spacing w:after="200" w:line="276" w:lineRule="auto"/>
        <w:contextualSpacing/>
        <w:jc w:val="both"/>
        <w:rPr>
          <w:rFonts w:ascii="Montserrat" w:hAnsi="Montserrat" w:cs="Arial"/>
          <w:kern w:val="2"/>
          <w:lang w:eastAsia="en-US"/>
        </w:rPr>
      </w:pPr>
    </w:p>
    <w:p w14:paraId="2D0CC7F0" w14:textId="77777777" w:rsidR="00C953B4" w:rsidRPr="00C953B4" w:rsidRDefault="00C953B4" w:rsidP="003237FF">
      <w:pPr>
        <w:jc w:val="both"/>
        <w:rPr>
          <w:rFonts w:ascii="Montserrat" w:hAnsi="Montserrat" w:cs="Arial"/>
          <w:b/>
          <w:kern w:val="2"/>
          <w:lang w:eastAsia="en-US"/>
        </w:rPr>
      </w:pPr>
    </w:p>
    <w:p w14:paraId="5D9EE5D0" w14:textId="398B38BF" w:rsidR="003237FF" w:rsidRPr="00C953B4" w:rsidRDefault="003237FF" w:rsidP="003237FF">
      <w:pPr>
        <w:jc w:val="both"/>
        <w:rPr>
          <w:rFonts w:ascii="Montserrat" w:hAnsi="Montserrat" w:cs="Arial"/>
          <w:b/>
          <w:kern w:val="2"/>
          <w:lang w:eastAsia="en-US"/>
        </w:rPr>
      </w:pPr>
      <w:r w:rsidRPr="00C953B4">
        <w:rPr>
          <w:rFonts w:ascii="Montserrat" w:hAnsi="Montserrat" w:cs="Arial"/>
          <w:b/>
          <w:kern w:val="2"/>
          <w:lang w:eastAsia="en-US"/>
        </w:rPr>
        <w:t>CIFRAS COBRADAS PARA AVANCE DE LEY DE INGRESOS</w:t>
      </w:r>
    </w:p>
    <w:p w14:paraId="33E3563F" w14:textId="77777777" w:rsidR="003237FF" w:rsidRPr="00C953B4" w:rsidRDefault="003237FF" w:rsidP="003237FF">
      <w:pPr>
        <w:jc w:val="both"/>
        <w:rPr>
          <w:rFonts w:ascii="Montserrat" w:hAnsi="Montserrat" w:cs="Arial"/>
          <w:b/>
          <w:kern w:val="2"/>
          <w:lang w:eastAsia="en-US"/>
        </w:rPr>
      </w:pPr>
    </w:p>
    <w:p w14:paraId="33708821" w14:textId="77777777" w:rsidR="003237FF" w:rsidRPr="00C953B4" w:rsidRDefault="003237FF" w:rsidP="003237FF">
      <w:pPr>
        <w:spacing w:after="200" w:line="276" w:lineRule="auto"/>
        <w:contextualSpacing/>
        <w:jc w:val="both"/>
        <w:rPr>
          <w:rFonts w:ascii="Montserrat" w:hAnsi="Montserrat" w:cs="Arial"/>
          <w:kern w:val="2"/>
          <w:lang w:eastAsia="en-US"/>
        </w:rPr>
      </w:pPr>
      <w:r w:rsidRPr="00C953B4">
        <w:rPr>
          <w:rFonts w:ascii="Montserrat" w:hAnsi="Montserrat" w:cs="Arial"/>
          <w:kern w:val="2"/>
          <w:lang w:eastAsia="en-US"/>
        </w:rPr>
        <w:t xml:space="preserve">Como resultado de la actividad fiscalizadora, al tercer trimestre de 2024 la Dirección de Auditoría e Inspección Fiscal tramitó el pago de incentivos económicos ante la Unidad de Coordinación con Entidades Federativas (UCEF) en cantidad de 112 millones 933 mil 85 pesos, asimismo recuperó cifras cobradas que derivan de actos de fiscalización en materia federal que fueron  pagados por los contribuyentes directamente al Estado en cantidad de 9 millones 907 mil 955 pesos, obteniéndose una recaudación total por </w:t>
      </w:r>
      <w:r w:rsidRPr="00C953B4">
        <w:rPr>
          <w:rFonts w:ascii="Montserrat" w:hAnsi="Montserrat" w:cs="Arial"/>
          <w:kern w:val="2"/>
          <w:lang w:eastAsia="en-US"/>
        </w:rPr>
        <w:lastRenderedPageBreak/>
        <w:t>actos de fiscalización en cantidad de 122 millones 841 mil 40 pesos. Por otra parte, la recaudación lograda de Impuestos Estatales fue de 48 millones 701 mil 51 pesos, en este sentido, se obtuvo un total de ingresos de 171 millones 542 mil 91 pesos, con los cuales se contribuye a sufragar el gasto público.</w:t>
      </w:r>
    </w:p>
    <w:p w14:paraId="7F231A46" w14:textId="77777777" w:rsidR="003237FF" w:rsidRPr="00C953B4" w:rsidRDefault="003237FF" w:rsidP="003237FF">
      <w:pPr>
        <w:spacing w:after="200" w:line="276" w:lineRule="auto"/>
        <w:contextualSpacing/>
        <w:jc w:val="both"/>
        <w:rPr>
          <w:rFonts w:ascii="Montserrat" w:hAnsi="Montserrat" w:cs="Arial"/>
          <w:kern w:val="2"/>
          <w:lang w:eastAsia="en-US"/>
        </w:rPr>
      </w:pPr>
    </w:p>
    <w:p w14:paraId="00B3E9CB" w14:textId="77777777" w:rsidR="003237FF" w:rsidRPr="00C953B4" w:rsidRDefault="003237FF" w:rsidP="003237FF">
      <w:pPr>
        <w:spacing w:after="200" w:line="276" w:lineRule="auto"/>
        <w:contextualSpacing/>
        <w:jc w:val="center"/>
        <w:rPr>
          <w:rFonts w:ascii="Montserrat" w:hAnsi="Montserrat" w:cs="Arial"/>
          <w:kern w:val="2"/>
          <w:lang w:eastAsia="en-US"/>
        </w:rPr>
      </w:pPr>
      <w:r w:rsidRPr="00C953B4">
        <w:rPr>
          <w:rFonts w:ascii="Montserrat" w:hAnsi="Montserrat"/>
          <w:noProof/>
          <w:lang w:val="es-MX"/>
        </w:rPr>
        <w:drawing>
          <wp:inline distT="0" distB="0" distL="0" distR="0" wp14:anchorId="40B8B8E7" wp14:editId="5951FE07">
            <wp:extent cx="4189252" cy="28575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7531" cy="2869968"/>
                    </a:xfrm>
                    <a:prstGeom prst="rect">
                      <a:avLst/>
                    </a:prstGeom>
                    <a:noFill/>
                    <a:ln>
                      <a:noFill/>
                    </a:ln>
                  </pic:spPr>
                </pic:pic>
              </a:graphicData>
            </a:graphic>
          </wp:inline>
        </w:drawing>
      </w:r>
    </w:p>
    <w:p w14:paraId="6D2D26D9" w14:textId="77777777" w:rsidR="00B0059B" w:rsidRPr="00FD2DE6" w:rsidRDefault="00B0059B" w:rsidP="00B0059B">
      <w:pPr>
        <w:widowControl w:val="0"/>
        <w:jc w:val="both"/>
        <w:rPr>
          <w:rFonts w:ascii="Montserrat" w:hAnsi="Montserrat"/>
          <w:b/>
        </w:rPr>
      </w:pPr>
    </w:p>
    <w:p w14:paraId="62BB474A" w14:textId="77777777" w:rsidR="004B3002" w:rsidRDefault="004B3002" w:rsidP="004B3002">
      <w:pPr>
        <w:pStyle w:val="Prrafodelista"/>
        <w:widowControl w:val="0"/>
        <w:ind w:left="426"/>
        <w:jc w:val="both"/>
        <w:rPr>
          <w:rFonts w:ascii="Montserrat" w:hAnsi="Montserrat"/>
          <w:b/>
          <w:sz w:val="24"/>
          <w:szCs w:val="24"/>
        </w:rPr>
      </w:pPr>
    </w:p>
    <w:p w14:paraId="7838361C" w14:textId="6016B8C5"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Información sobre la Deuda y el Reporte Analítico de la Deuda</w:t>
      </w:r>
    </w:p>
    <w:p w14:paraId="11CD69FD" w14:textId="77777777" w:rsidR="005F5862" w:rsidRPr="005F5862" w:rsidRDefault="005F5862" w:rsidP="005F5862">
      <w:pPr>
        <w:widowControl w:val="0"/>
        <w:jc w:val="both"/>
        <w:rPr>
          <w:rFonts w:ascii="Montserrat" w:hAnsi="Montserrat"/>
          <w:bCs/>
        </w:rPr>
      </w:pPr>
      <w:r w:rsidRPr="005F5862">
        <w:rPr>
          <w:rFonts w:ascii="Montserrat" w:hAnsi="Montserrat"/>
          <w:bCs/>
        </w:rPr>
        <w:t>Política de Deuda Pública</w:t>
      </w:r>
    </w:p>
    <w:p w14:paraId="1067BD4B" w14:textId="77777777" w:rsidR="005F5862" w:rsidRPr="005F5862" w:rsidRDefault="005F5862" w:rsidP="005F5862">
      <w:pPr>
        <w:widowControl w:val="0"/>
        <w:jc w:val="both"/>
        <w:rPr>
          <w:rFonts w:ascii="Montserrat" w:hAnsi="Montserrat"/>
          <w:bCs/>
        </w:rPr>
      </w:pPr>
    </w:p>
    <w:p w14:paraId="76D5AA6E" w14:textId="77777777" w:rsidR="005F5862" w:rsidRPr="005F5862" w:rsidRDefault="005F5862" w:rsidP="005F5862">
      <w:pPr>
        <w:widowControl w:val="0"/>
        <w:jc w:val="both"/>
        <w:rPr>
          <w:rFonts w:ascii="Montserrat" w:hAnsi="Montserrat"/>
          <w:bCs/>
        </w:rPr>
      </w:pPr>
      <w:r w:rsidRPr="005F5862">
        <w:rPr>
          <w:rFonts w:ascii="Montserrat" w:hAnsi="Montserrat"/>
          <w:bCs/>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7DF82309" w14:textId="77777777" w:rsidR="005F5862" w:rsidRPr="005F5862" w:rsidRDefault="005F5862" w:rsidP="005F5862">
      <w:pPr>
        <w:widowControl w:val="0"/>
        <w:jc w:val="both"/>
        <w:rPr>
          <w:rFonts w:ascii="Montserrat" w:hAnsi="Montserrat"/>
          <w:bCs/>
        </w:rPr>
      </w:pPr>
    </w:p>
    <w:p w14:paraId="336511D2" w14:textId="77777777" w:rsidR="005F5862" w:rsidRPr="005F5862" w:rsidRDefault="005F5862" w:rsidP="005F5862">
      <w:pPr>
        <w:widowControl w:val="0"/>
        <w:jc w:val="both"/>
        <w:rPr>
          <w:rFonts w:ascii="Montserrat" w:hAnsi="Montserrat"/>
          <w:bCs/>
        </w:rPr>
      </w:pPr>
      <w:r w:rsidRPr="005F5862">
        <w:rPr>
          <w:rFonts w:ascii="Montserrat" w:hAnsi="Montserrat"/>
          <w:bCs/>
        </w:rPr>
        <w:t>Como resultado de estas medidas, en el trimestre que se informa no se ha contratado deuda pública adicional ni créditos a corto plazo, haciéndose esfuerzos para cumplir oportunamente con las obligaciones contractuales vigentes.</w:t>
      </w:r>
    </w:p>
    <w:p w14:paraId="47698160" w14:textId="77777777" w:rsidR="005F5862" w:rsidRPr="005F5862" w:rsidRDefault="005F5862" w:rsidP="005F5862">
      <w:pPr>
        <w:widowControl w:val="0"/>
        <w:jc w:val="both"/>
        <w:rPr>
          <w:rFonts w:ascii="Montserrat" w:hAnsi="Montserrat"/>
          <w:bCs/>
        </w:rPr>
      </w:pPr>
    </w:p>
    <w:p w14:paraId="35642381" w14:textId="78D022CC" w:rsidR="005F5862" w:rsidRPr="005F5862" w:rsidRDefault="005F5862" w:rsidP="005F5862">
      <w:pPr>
        <w:widowControl w:val="0"/>
        <w:jc w:val="both"/>
        <w:rPr>
          <w:rFonts w:ascii="Montserrat" w:hAnsi="Montserrat"/>
          <w:bCs/>
        </w:rPr>
      </w:pPr>
      <w:r w:rsidRPr="005F5862">
        <w:rPr>
          <w:rFonts w:ascii="Montserrat" w:hAnsi="Montserrat"/>
          <w:bCs/>
        </w:rPr>
        <w:t>DEUDA PÚBLICA Y OBLIGACIONES DE PAGO ESTATAL</w:t>
      </w:r>
    </w:p>
    <w:p w14:paraId="5DB2E554" w14:textId="77777777" w:rsidR="005F5862" w:rsidRPr="005F5862" w:rsidRDefault="005F5862" w:rsidP="005F5862">
      <w:pPr>
        <w:widowControl w:val="0"/>
        <w:jc w:val="both"/>
        <w:rPr>
          <w:rFonts w:ascii="Montserrat" w:hAnsi="Montserrat"/>
          <w:bCs/>
        </w:rPr>
      </w:pPr>
    </w:p>
    <w:p w14:paraId="33149CB6" w14:textId="77777777" w:rsidR="005F5862" w:rsidRPr="005F5862" w:rsidRDefault="005F5862" w:rsidP="005F5862">
      <w:pPr>
        <w:widowControl w:val="0"/>
        <w:jc w:val="both"/>
        <w:rPr>
          <w:rFonts w:ascii="Montserrat" w:hAnsi="Montserrat"/>
          <w:bCs/>
        </w:rPr>
      </w:pPr>
      <w:r w:rsidRPr="005F5862">
        <w:rPr>
          <w:rFonts w:ascii="Montserrat" w:hAnsi="Montserrat"/>
          <w:bCs/>
        </w:rPr>
        <w:t xml:space="preserve">La Ley de Deuda Pública del Estado de Oaxaca establece dos tipos de </w:t>
      </w:r>
      <w:r w:rsidRPr="005F5862">
        <w:rPr>
          <w:rFonts w:ascii="Montserrat" w:hAnsi="Montserrat"/>
          <w:bCs/>
        </w:rPr>
        <w:lastRenderedPageBreak/>
        <w:t>Financiamientos: los que se consideran como un Pasivo Directo y las Obligaciones de Pago que no representan un pasivo directo al Estado, sin embargo, existe el compromiso de pago.</w:t>
      </w:r>
    </w:p>
    <w:p w14:paraId="38CCB9C0" w14:textId="77777777" w:rsidR="005F5862" w:rsidRPr="005F5862" w:rsidRDefault="005F5862" w:rsidP="005F5862">
      <w:pPr>
        <w:widowControl w:val="0"/>
        <w:jc w:val="both"/>
        <w:rPr>
          <w:rFonts w:ascii="Montserrat" w:hAnsi="Montserrat"/>
          <w:bCs/>
        </w:rPr>
      </w:pPr>
    </w:p>
    <w:p w14:paraId="20FEC71B" w14:textId="77777777" w:rsidR="005F5862" w:rsidRPr="005F5862" w:rsidRDefault="005F5862" w:rsidP="005F5862">
      <w:pPr>
        <w:widowControl w:val="0"/>
        <w:jc w:val="both"/>
        <w:rPr>
          <w:rFonts w:ascii="Montserrat" w:hAnsi="Montserrat"/>
          <w:bCs/>
        </w:rPr>
      </w:pPr>
      <w:r w:rsidRPr="005F5862">
        <w:rPr>
          <w:rFonts w:ascii="Montserrat" w:hAnsi="Montserrat"/>
          <w:bCs/>
        </w:rPr>
        <w:t>El Estado cuenta con 12 financiamientos vigentes: 10 créditos a largo plazo, considerados como pasivos directos y 2 créditos bono cupón cero, conocidos como Obligaciones de Pago.</w:t>
      </w:r>
    </w:p>
    <w:p w14:paraId="69290DCE" w14:textId="77777777" w:rsidR="005F5862" w:rsidRPr="005F5862" w:rsidRDefault="005F5862" w:rsidP="005F5862">
      <w:pPr>
        <w:widowControl w:val="0"/>
        <w:jc w:val="both"/>
        <w:rPr>
          <w:rFonts w:ascii="Montserrat" w:hAnsi="Montserrat"/>
          <w:bCs/>
        </w:rPr>
      </w:pPr>
    </w:p>
    <w:p w14:paraId="67037E1C" w14:textId="77777777" w:rsidR="005F5862" w:rsidRPr="005F5862" w:rsidRDefault="005F5862" w:rsidP="005F5862">
      <w:pPr>
        <w:widowControl w:val="0"/>
        <w:jc w:val="both"/>
        <w:rPr>
          <w:rFonts w:ascii="Montserrat" w:hAnsi="Montserrat"/>
          <w:bCs/>
        </w:rPr>
      </w:pPr>
      <w:r w:rsidRPr="005F5862">
        <w:rPr>
          <w:rFonts w:ascii="Montserrat" w:hAnsi="Montserrat"/>
          <w:bCs/>
        </w:rPr>
        <w:t>En el mes de septiembre se incorporan 6 créditos que fueron suscritos el 27 de junio de 2024 y cuyos recursos se dispusieron el 25 de septiembre de 2024, iniciando el periodo de pago a partir de esa fecha.</w:t>
      </w:r>
    </w:p>
    <w:p w14:paraId="0C09F60E" w14:textId="77777777" w:rsidR="005F5862" w:rsidRPr="005F5862" w:rsidRDefault="005F5862" w:rsidP="005F5862">
      <w:pPr>
        <w:widowControl w:val="0"/>
        <w:jc w:val="both"/>
        <w:rPr>
          <w:rFonts w:ascii="Montserrat" w:hAnsi="Montserrat"/>
          <w:bCs/>
        </w:rPr>
      </w:pPr>
    </w:p>
    <w:p w14:paraId="7531308E" w14:textId="77777777" w:rsidR="005F5862" w:rsidRPr="005F5862" w:rsidRDefault="005F5862" w:rsidP="005F5862">
      <w:pPr>
        <w:widowControl w:val="0"/>
        <w:jc w:val="both"/>
        <w:rPr>
          <w:rFonts w:ascii="Montserrat" w:hAnsi="Montserrat"/>
          <w:bCs/>
        </w:rPr>
      </w:pPr>
      <w:r w:rsidRPr="005F5862">
        <w:rPr>
          <w:rFonts w:ascii="Montserrat" w:hAnsi="Montserrat"/>
          <w:bCs/>
        </w:rPr>
        <w:t>El mismo 25 de septiembre de 2024 se liquidaron anticipadamente 4 créditos, como se detalla en el siguiente concentrado:</w:t>
      </w:r>
    </w:p>
    <w:p w14:paraId="7B209DA3" w14:textId="77777777" w:rsidR="005F5862" w:rsidRPr="005F5862" w:rsidRDefault="005F5862" w:rsidP="005F5862">
      <w:pPr>
        <w:widowControl w:val="0"/>
        <w:jc w:val="both"/>
        <w:rPr>
          <w:rFonts w:ascii="Montserrat" w:hAnsi="Montserrat"/>
          <w:bCs/>
        </w:rPr>
      </w:pPr>
    </w:p>
    <w:p w14:paraId="2D4C5F57" w14:textId="4C46DF3E" w:rsidR="005F5862" w:rsidRPr="005F5862" w:rsidRDefault="005F5862" w:rsidP="005F5862">
      <w:pPr>
        <w:widowControl w:val="0"/>
        <w:jc w:val="both"/>
        <w:rPr>
          <w:rFonts w:ascii="Montserrat" w:hAnsi="Montserrat"/>
          <w:bCs/>
        </w:rPr>
      </w:pPr>
      <w:r w:rsidRPr="005F5862">
        <w:rPr>
          <w:rFonts w:ascii="Montserrat" w:hAnsi="Montserrat"/>
          <w:bCs/>
        </w:rPr>
        <w:t xml:space="preserve"> </w:t>
      </w:r>
      <w:r w:rsidRPr="00497AA3">
        <w:rPr>
          <w:noProof/>
          <w:lang w:val="es-MX"/>
        </w:rPr>
        <w:drawing>
          <wp:inline distT="0" distB="0" distL="0" distR="0" wp14:anchorId="55EF2E7B" wp14:editId="0F9925D5">
            <wp:extent cx="5775276" cy="34632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0040" cy="3466147"/>
                    </a:xfrm>
                    <a:prstGeom prst="rect">
                      <a:avLst/>
                    </a:prstGeom>
                    <a:noFill/>
                    <a:ln>
                      <a:noFill/>
                    </a:ln>
                  </pic:spPr>
                </pic:pic>
              </a:graphicData>
            </a:graphic>
          </wp:inline>
        </w:drawing>
      </w:r>
    </w:p>
    <w:p w14:paraId="1E6AFF6F" w14:textId="77777777" w:rsidR="005F5862" w:rsidRPr="005F5862" w:rsidRDefault="005F5862" w:rsidP="005F5862">
      <w:pPr>
        <w:widowControl w:val="0"/>
        <w:ind w:left="142"/>
        <w:jc w:val="both"/>
        <w:rPr>
          <w:rFonts w:ascii="Montserrat" w:hAnsi="Montserrat"/>
          <w:bCs/>
          <w:sz w:val="16"/>
          <w:szCs w:val="16"/>
        </w:rPr>
      </w:pPr>
      <w:r w:rsidRPr="005F5862">
        <w:rPr>
          <w:rFonts w:ascii="Montserrat" w:hAnsi="Montserrat"/>
          <w:bCs/>
          <w:sz w:val="16"/>
          <w:szCs w:val="16"/>
        </w:rPr>
        <w:t xml:space="preserve"> 1/ En términos de la Cláusula Décima Tercera numeral 13.1 del contrato de crédito, el 28 de noviembre de 2022 Banobras activó la aceleración parcial del Crédito.</w:t>
      </w:r>
    </w:p>
    <w:p w14:paraId="09D60F22" w14:textId="77777777" w:rsidR="005F5862" w:rsidRPr="005F5862" w:rsidRDefault="005F5862" w:rsidP="005F5862">
      <w:pPr>
        <w:widowControl w:val="0"/>
        <w:ind w:left="142"/>
        <w:jc w:val="both"/>
        <w:rPr>
          <w:rFonts w:ascii="Montserrat" w:hAnsi="Montserrat"/>
          <w:bCs/>
          <w:sz w:val="16"/>
          <w:szCs w:val="16"/>
        </w:rPr>
      </w:pPr>
      <w:r w:rsidRPr="005F5862">
        <w:rPr>
          <w:rFonts w:ascii="Montserrat" w:hAnsi="Montserrat"/>
          <w:bCs/>
          <w:sz w:val="16"/>
          <w:szCs w:val="16"/>
        </w:rPr>
        <w:t>2/ Créditos considerados como Obligaciones de Pago, de los que el Estado solamente paga intereses; el principal será cubierto con bonos cupón cero constituidos por el Gobierno Federal por conducto de la SHCP y Banobras.</w:t>
      </w:r>
    </w:p>
    <w:p w14:paraId="740F3B9A" w14:textId="77777777" w:rsidR="005F5862" w:rsidRPr="005F5862" w:rsidRDefault="005F5862" w:rsidP="005F5862">
      <w:pPr>
        <w:widowControl w:val="0"/>
        <w:ind w:left="142"/>
        <w:jc w:val="both"/>
        <w:rPr>
          <w:rFonts w:ascii="Montserrat" w:hAnsi="Montserrat"/>
          <w:bCs/>
          <w:sz w:val="16"/>
          <w:szCs w:val="16"/>
        </w:rPr>
      </w:pPr>
      <w:r w:rsidRPr="005F5862">
        <w:rPr>
          <w:rFonts w:ascii="Montserrat" w:hAnsi="Montserrat"/>
          <w:bCs/>
          <w:sz w:val="16"/>
          <w:szCs w:val="16"/>
        </w:rPr>
        <w:t>3/ Los recursos de estos créditos fueron dispuestos el 25 de septiembre de 2024</w:t>
      </w:r>
    </w:p>
    <w:p w14:paraId="076E8241" w14:textId="77777777" w:rsidR="005F5862" w:rsidRPr="005F5862" w:rsidRDefault="005F5862" w:rsidP="005F5862">
      <w:pPr>
        <w:widowControl w:val="0"/>
        <w:jc w:val="both"/>
        <w:rPr>
          <w:rFonts w:ascii="Montserrat" w:hAnsi="Montserrat"/>
          <w:bCs/>
        </w:rPr>
      </w:pPr>
    </w:p>
    <w:p w14:paraId="38B358FA" w14:textId="2E7C7CE5" w:rsidR="00B0059B" w:rsidRPr="005F5862" w:rsidRDefault="005F5862" w:rsidP="005F5862">
      <w:pPr>
        <w:widowControl w:val="0"/>
        <w:jc w:val="both"/>
        <w:rPr>
          <w:rFonts w:ascii="Montserrat" w:hAnsi="Montserrat"/>
          <w:bCs/>
        </w:rPr>
      </w:pPr>
      <w:r w:rsidRPr="005F5862">
        <w:rPr>
          <w:rFonts w:ascii="Montserrat" w:hAnsi="Montserrat"/>
          <w:bCs/>
        </w:rPr>
        <w:lastRenderedPageBreak/>
        <w:t>El saldo de la deuda pública directa representa el 90.70% del total de la deuda pública y otras obligaciones de pago; los Créditos Bono Cupón Cero, donde el Estado solamente paga intereses y el pago de capital está a cargo de la Federación, representa el 9.30%.</w:t>
      </w:r>
    </w:p>
    <w:p w14:paraId="536933E7" w14:textId="77777777" w:rsidR="00B0059B" w:rsidRPr="00FD2DE6" w:rsidRDefault="00B0059B" w:rsidP="00B0059B">
      <w:pPr>
        <w:widowControl w:val="0"/>
        <w:jc w:val="both"/>
        <w:rPr>
          <w:rFonts w:ascii="Montserrat" w:hAnsi="Montserrat"/>
          <w:b/>
        </w:rPr>
      </w:pPr>
    </w:p>
    <w:p w14:paraId="05F910E5" w14:textId="77777777" w:rsidR="00B0059B" w:rsidRPr="00FD2DE6" w:rsidRDefault="00B0059B" w:rsidP="00C953B4">
      <w:pPr>
        <w:pStyle w:val="Prrafodelista"/>
        <w:keepNext/>
        <w:widowControl w:val="0"/>
        <w:numPr>
          <w:ilvl w:val="0"/>
          <w:numId w:val="6"/>
        </w:numPr>
        <w:ind w:left="425" w:hanging="425"/>
        <w:jc w:val="both"/>
        <w:rPr>
          <w:rFonts w:ascii="Montserrat" w:hAnsi="Montserrat"/>
          <w:b/>
          <w:sz w:val="24"/>
          <w:szCs w:val="24"/>
        </w:rPr>
      </w:pPr>
      <w:r w:rsidRPr="00FD2DE6">
        <w:rPr>
          <w:rFonts w:ascii="Montserrat" w:hAnsi="Montserrat"/>
          <w:b/>
          <w:sz w:val="24"/>
          <w:szCs w:val="24"/>
        </w:rPr>
        <w:t>Calificaciones otorgadas</w:t>
      </w:r>
    </w:p>
    <w:p w14:paraId="2273BD99"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Transcurrido el tercer trimestre del presente 2024, el estado de Oaxaca recibe de las instituciones calificadoras una buena apreciación relacionada con el riesgo crediticio. </w:t>
      </w:r>
    </w:p>
    <w:p w14:paraId="4D3D4BC8"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Se sustenta lo dicho anterior, porque al periodo señalado han mantenido las mismas notificaciones donde se refleja que el Estado de Oaxaca presenta una sólida capacidad de pago de intereses, así como del principal y es poco susceptible a cambios económicos, cuyo significado se traduce que ofrece seguridad para el pago de sus obligaciones financieras contratadas. En otras palabras, las calificaciones emitidas por estas instituciones, reflejan bajo riesgo y certeza de cumplimiento en todo momento. </w:t>
      </w:r>
    </w:p>
    <w:p w14:paraId="43911026"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El hecho es, que el 23 septiembre de 2024, la agencia calificadora Standard and Poor’s, ratifica la calificación en escala nacional de ‘mxA’ y la perspectiva la mantiene estable.</w:t>
      </w:r>
    </w:p>
    <w:p w14:paraId="2F254923"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En el mes de mayo de 2024, como estrategia administrativa financiera, con previa autorización del Honorable Congreso del Estado de Oaxaca, la presente administración tomó la decisión de reestructurar la deuda pública del Estado que consistió en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dará a las finanzas contar con una fuente de liquidez para enfrentar las necesidades apremiantes. Además, es uno de los indicadores que evalúan las calificadoras.</w:t>
      </w:r>
    </w:p>
    <w:p w14:paraId="44739A8F"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Al cierre del Tercer Trimestre de 2024, el Gobierno Estatal del Estado de Oaxaca, continúa con apego a los planteamientos administrativos de finanzas determinados al inicio de su administración.</w:t>
      </w:r>
    </w:p>
    <w:p w14:paraId="21FD276F"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lastRenderedPageBreak/>
        <w:t>En término concreto se resumen en: continuar con la iniciativa de no contratar deuda pública de largo y corto plazos.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tercer semestre de 2024, a los analistas les permite pensar, que la estrategia aplicada en este tiempo transcurrido le ha dado a este gobierno los resultados esperados.</w:t>
      </w:r>
    </w:p>
    <w:p w14:paraId="07DE8BBE"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Las agencias calificadoras mantienen hasta el momento de la emisión de la nota, la posición de ratificar mediante las calificaciones emitidas en el último trimestre de 2023. No han hecho ninguna notificación que afectara la buena imagen de la solvencia crediticia del Estado de Oaxaca.   </w:t>
      </w:r>
    </w:p>
    <w:p w14:paraId="7FA3B742"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intención de esta administración, es mejorar esta calidad crediticia. Las instituciones financieras lo aprueban y así mismo, emiten en buenos términos esta pronunciación relacionada con la solvencia financiera que el Estado ha logrado con las medidas estratégicas de incrementar el ingreso propio, control del gasto y buena administración de la deuda pública.</w:t>
      </w:r>
    </w:p>
    <w:p w14:paraId="78A2A548"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Como referencia, se valora que la calificación se mantiene vigente hasta que la agencia haga la notificación respectiva, eso quiere decir que las calificaciones que aparecen en el cuadro son las que el Estado cuenta.</w:t>
      </w:r>
    </w:p>
    <w:tbl>
      <w:tblPr>
        <w:tblStyle w:val="Tablaconcuadrcula"/>
        <w:tblW w:w="8238" w:type="dxa"/>
        <w:jc w:val="center"/>
        <w:tblCellMar>
          <w:left w:w="28" w:type="dxa"/>
          <w:right w:w="28" w:type="dxa"/>
        </w:tblCellMar>
        <w:tblLook w:val="04A0" w:firstRow="1" w:lastRow="0" w:firstColumn="1" w:lastColumn="0" w:noHBand="0" w:noVBand="1"/>
      </w:tblPr>
      <w:tblGrid>
        <w:gridCol w:w="1569"/>
        <w:gridCol w:w="1821"/>
        <w:gridCol w:w="1834"/>
        <w:gridCol w:w="1558"/>
        <w:gridCol w:w="1456"/>
      </w:tblGrid>
      <w:tr w:rsidR="005F5862" w:rsidRPr="005F5862" w14:paraId="34DCD2C3" w14:textId="77777777" w:rsidTr="00C953B4">
        <w:trPr>
          <w:jc w:val="center"/>
        </w:trPr>
        <w:tc>
          <w:tcPr>
            <w:tcW w:w="8238" w:type="dxa"/>
            <w:gridSpan w:val="5"/>
            <w:tcBorders>
              <w:top w:val="single" w:sz="4" w:space="0" w:color="auto"/>
              <w:left w:val="single" w:sz="4" w:space="0" w:color="auto"/>
              <w:bottom w:val="single" w:sz="4" w:space="0" w:color="auto"/>
              <w:right w:val="single" w:sz="4" w:space="0" w:color="auto"/>
            </w:tcBorders>
            <w:vAlign w:val="center"/>
            <w:hideMark/>
          </w:tcPr>
          <w:p w14:paraId="5DDE512B" w14:textId="77777777" w:rsidR="005F5862" w:rsidRPr="005F5862" w:rsidRDefault="005F5862" w:rsidP="005F5862">
            <w:pPr>
              <w:pStyle w:val="Prrafodelista"/>
              <w:tabs>
                <w:tab w:val="left" w:pos="7260"/>
              </w:tabs>
              <w:spacing w:after="0"/>
              <w:ind w:left="567"/>
              <w:rPr>
                <w:rFonts w:ascii="Montserrat" w:eastAsia="Times New Roman" w:hAnsi="Montserrat" w:cs="Arial"/>
                <w:b/>
                <w:bCs/>
                <w:sz w:val="18"/>
                <w:szCs w:val="18"/>
              </w:rPr>
            </w:pPr>
            <w:r w:rsidRPr="005F5862">
              <w:rPr>
                <w:rFonts w:ascii="Montserrat" w:eastAsia="Times New Roman" w:hAnsi="Montserrat" w:cs="Arial"/>
                <w:b/>
                <w:bCs/>
                <w:sz w:val="18"/>
                <w:szCs w:val="18"/>
              </w:rPr>
              <w:t>CALIFICACIONES SUBSOBERANAS DEL ESTADO DE OAXACA 2022-2023</w:t>
            </w:r>
          </w:p>
        </w:tc>
      </w:tr>
      <w:tr w:rsidR="005F5862" w:rsidRPr="005F5862" w14:paraId="657CFD13" w14:textId="77777777" w:rsidTr="00C953B4">
        <w:trPr>
          <w:jc w:val="center"/>
        </w:trPr>
        <w:tc>
          <w:tcPr>
            <w:tcW w:w="5224" w:type="dxa"/>
            <w:gridSpan w:val="3"/>
            <w:tcBorders>
              <w:top w:val="single" w:sz="4" w:space="0" w:color="auto"/>
              <w:left w:val="single" w:sz="4" w:space="0" w:color="auto"/>
              <w:bottom w:val="single" w:sz="4" w:space="0" w:color="auto"/>
              <w:right w:val="single" w:sz="4" w:space="0" w:color="auto"/>
            </w:tcBorders>
            <w:vAlign w:val="center"/>
            <w:hideMark/>
          </w:tcPr>
          <w:p w14:paraId="168E4B26" w14:textId="77777777" w:rsidR="005F5862" w:rsidRPr="005F5862" w:rsidRDefault="005F5862" w:rsidP="00882EAC">
            <w:pPr>
              <w:pStyle w:val="Prrafodelista"/>
              <w:tabs>
                <w:tab w:val="left" w:pos="7260"/>
              </w:tabs>
              <w:spacing w:after="0"/>
              <w:ind w:left="108"/>
              <w:jc w:val="center"/>
              <w:rPr>
                <w:rFonts w:ascii="Montserrat" w:eastAsia="Times New Roman" w:hAnsi="Montserrat" w:cs="Arial"/>
                <w:sz w:val="18"/>
                <w:szCs w:val="18"/>
              </w:rPr>
            </w:pPr>
            <w:r w:rsidRPr="005F5862">
              <w:rPr>
                <w:rFonts w:ascii="Montserrat" w:eastAsia="Times New Roman" w:hAnsi="Montserrat" w:cs="Arial"/>
                <w:sz w:val="18"/>
                <w:szCs w:val="18"/>
              </w:rPr>
              <w:t>2023</w:t>
            </w:r>
          </w:p>
        </w:tc>
        <w:tc>
          <w:tcPr>
            <w:tcW w:w="3014" w:type="dxa"/>
            <w:gridSpan w:val="2"/>
            <w:tcBorders>
              <w:top w:val="single" w:sz="4" w:space="0" w:color="auto"/>
              <w:left w:val="single" w:sz="4" w:space="0" w:color="auto"/>
              <w:bottom w:val="single" w:sz="4" w:space="0" w:color="auto"/>
              <w:right w:val="single" w:sz="4" w:space="0" w:color="auto"/>
            </w:tcBorders>
            <w:vAlign w:val="center"/>
            <w:hideMark/>
          </w:tcPr>
          <w:p w14:paraId="6BE5AF25" w14:textId="77777777" w:rsidR="005F5862" w:rsidRPr="005F5862" w:rsidRDefault="005F5862" w:rsidP="00882EAC">
            <w:pPr>
              <w:pStyle w:val="Prrafodelista"/>
              <w:tabs>
                <w:tab w:val="left" w:pos="7260"/>
              </w:tabs>
              <w:spacing w:after="0"/>
              <w:ind w:left="567" w:hanging="449"/>
              <w:jc w:val="center"/>
              <w:rPr>
                <w:rFonts w:ascii="Montserrat" w:eastAsia="Times New Roman" w:hAnsi="Montserrat" w:cs="Arial"/>
                <w:sz w:val="18"/>
                <w:szCs w:val="18"/>
              </w:rPr>
            </w:pPr>
            <w:r w:rsidRPr="005F5862">
              <w:rPr>
                <w:rFonts w:ascii="Montserrat" w:eastAsia="Times New Roman" w:hAnsi="Montserrat" w:cs="Arial"/>
                <w:sz w:val="18"/>
                <w:szCs w:val="18"/>
              </w:rPr>
              <w:t>2024</w:t>
            </w:r>
          </w:p>
        </w:tc>
      </w:tr>
      <w:tr w:rsidR="00AA1A78" w:rsidRPr="005F5862" w14:paraId="78067DF5" w14:textId="77777777" w:rsidTr="00C953B4">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0705ABA1"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CALIFICADORA</w:t>
            </w:r>
          </w:p>
        </w:tc>
        <w:tc>
          <w:tcPr>
            <w:tcW w:w="1821" w:type="dxa"/>
            <w:tcBorders>
              <w:top w:val="single" w:sz="4" w:space="0" w:color="auto"/>
              <w:left w:val="single" w:sz="4" w:space="0" w:color="auto"/>
              <w:bottom w:val="single" w:sz="4" w:space="0" w:color="auto"/>
              <w:right w:val="single" w:sz="4" w:space="0" w:color="auto"/>
            </w:tcBorders>
            <w:vAlign w:val="center"/>
            <w:hideMark/>
          </w:tcPr>
          <w:p w14:paraId="7F95FE46"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CALIFICACIÓN</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848CBE0"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PERSPECTIVAS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BC2215F" w14:textId="77777777" w:rsidR="005F5862" w:rsidRPr="005F5862" w:rsidRDefault="005F5862" w:rsidP="005F5862">
            <w:pPr>
              <w:pStyle w:val="Prrafodelista"/>
              <w:tabs>
                <w:tab w:val="left" w:pos="7260"/>
              </w:tabs>
              <w:spacing w:after="0"/>
              <w:ind w:left="142"/>
              <w:rPr>
                <w:rFonts w:ascii="Montserrat" w:eastAsia="Times New Roman" w:hAnsi="Montserrat" w:cs="Arial"/>
                <w:sz w:val="18"/>
                <w:szCs w:val="18"/>
              </w:rPr>
            </w:pPr>
            <w:r w:rsidRPr="005F5862">
              <w:rPr>
                <w:rFonts w:ascii="Montserrat" w:eastAsia="Times New Roman" w:hAnsi="Montserrat" w:cs="Arial"/>
                <w:sz w:val="18"/>
                <w:szCs w:val="18"/>
              </w:rPr>
              <w:t xml:space="preserve">CALIFICACIÓN </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18720EA" w14:textId="77777777" w:rsidR="005F5862" w:rsidRPr="005F5862" w:rsidRDefault="005F5862" w:rsidP="005F5862">
            <w:pPr>
              <w:pStyle w:val="Prrafodelista"/>
              <w:tabs>
                <w:tab w:val="left" w:pos="7260"/>
              </w:tabs>
              <w:spacing w:after="0"/>
              <w:ind w:left="567" w:hanging="449"/>
              <w:rPr>
                <w:rFonts w:ascii="Montserrat" w:eastAsia="Times New Roman" w:hAnsi="Montserrat" w:cs="Arial"/>
                <w:sz w:val="18"/>
                <w:szCs w:val="18"/>
              </w:rPr>
            </w:pPr>
            <w:r w:rsidRPr="005F5862">
              <w:rPr>
                <w:rFonts w:ascii="Montserrat" w:eastAsia="Times New Roman" w:hAnsi="Montserrat" w:cs="Arial"/>
                <w:sz w:val="18"/>
                <w:szCs w:val="18"/>
              </w:rPr>
              <w:t>PERSPECTIVA</w:t>
            </w:r>
          </w:p>
        </w:tc>
      </w:tr>
      <w:tr w:rsidR="00AA1A78" w:rsidRPr="005F5862" w14:paraId="1F547B9C" w14:textId="77777777" w:rsidTr="00C953B4">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2C1B0EC0"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HR Ratings</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511A136"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HR A +</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06256B5"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Estable</w:t>
            </w:r>
          </w:p>
        </w:tc>
        <w:tc>
          <w:tcPr>
            <w:tcW w:w="1558" w:type="dxa"/>
            <w:tcBorders>
              <w:top w:val="single" w:sz="4" w:space="0" w:color="auto"/>
              <w:left w:val="single" w:sz="4" w:space="0" w:color="auto"/>
              <w:bottom w:val="single" w:sz="4" w:space="0" w:color="auto"/>
              <w:right w:val="single" w:sz="4" w:space="0" w:color="auto"/>
            </w:tcBorders>
            <w:vAlign w:val="center"/>
          </w:tcPr>
          <w:p w14:paraId="47A5192C" w14:textId="77777777" w:rsidR="005F5862" w:rsidRPr="005F5862" w:rsidRDefault="005F5862" w:rsidP="005F5862">
            <w:pPr>
              <w:pStyle w:val="Prrafodelista"/>
              <w:tabs>
                <w:tab w:val="left" w:pos="7260"/>
              </w:tabs>
              <w:spacing w:after="0"/>
              <w:ind w:left="567"/>
              <w:rPr>
                <w:rFonts w:ascii="Montserrat" w:eastAsia="Times New Roman" w:hAnsi="Montserrat" w:cs="Arial"/>
                <w:sz w:val="18"/>
                <w:szCs w:val="18"/>
              </w:rPr>
            </w:pPr>
          </w:p>
        </w:tc>
        <w:tc>
          <w:tcPr>
            <w:tcW w:w="1456" w:type="dxa"/>
            <w:tcBorders>
              <w:top w:val="single" w:sz="4" w:space="0" w:color="auto"/>
              <w:left w:val="single" w:sz="4" w:space="0" w:color="auto"/>
              <w:bottom w:val="single" w:sz="4" w:space="0" w:color="auto"/>
              <w:right w:val="single" w:sz="4" w:space="0" w:color="auto"/>
            </w:tcBorders>
            <w:vAlign w:val="center"/>
          </w:tcPr>
          <w:p w14:paraId="23C38866" w14:textId="77777777" w:rsidR="005F5862" w:rsidRPr="005F5862" w:rsidRDefault="005F5862" w:rsidP="005F5862">
            <w:pPr>
              <w:pStyle w:val="Prrafodelista"/>
              <w:tabs>
                <w:tab w:val="left" w:pos="7260"/>
              </w:tabs>
              <w:spacing w:after="0"/>
              <w:ind w:left="567"/>
              <w:rPr>
                <w:rFonts w:ascii="Montserrat" w:eastAsia="Times New Roman" w:hAnsi="Montserrat" w:cs="Arial"/>
                <w:sz w:val="18"/>
                <w:szCs w:val="18"/>
              </w:rPr>
            </w:pPr>
          </w:p>
        </w:tc>
      </w:tr>
      <w:tr w:rsidR="00AA1A78" w:rsidRPr="005F5862" w14:paraId="7C5E8919" w14:textId="77777777" w:rsidTr="00C953B4">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0716DF40"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Standard &amp; Poor’s</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37F49FB"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‘mxA‘</w:t>
            </w:r>
          </w:p>
        </w:tc>
        <w:tc>
          <w:tcPr>
            <w:tcW w:w="1834" w:type="dxa"/>
            <w:tcBorders>
              <w:top w:val="single" w:sz="4" w:space="0" w:color="auto"/>
              <w:left w:val="single" w:sz="4" w:space="0" w:color="auto"/>
              <w:bottom w:val="single" w:sz="4" w:space="0" w:color="auto"/>
              <w:right w:val="single" w:sz="4" w:space="0" w:color="auto"/>
            </w:tcBorders>
            <w:vAlign w:val="center"/>
            <w:hideMark/>
          </w:tcPr>
          <w:p w14:paraId="1545F0B6"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Estable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7303761" w14:textId="77777777" w:rsidR="005F5862" w:rsidRPr="005F5862" w:rsidRDefault="005F5862" w:rsidP="005F5862">
            <w:pPr>
              <w:pStyle w:val="Prrafodelista"/>
              <w:tabs>
                <w:tab w:val="left" w:pos="7260"/>
              </w:tabs>
              <w:spacing w:after="0"/>
              <w:ind w:left="567" w:hanging="449"/>
              <w:rPr>
                <w:rFonts w:ascii="Montserrat" w:eastAsia="Times New Roman" w:hAnsi="Montserrat" w:cs="Arial"/>
                <w:sz w:val="18"/>
                <w:szCs w:val="18"/>
              </w:rPr>
            </w:pPr>
            <w:r w:rsidRPr="005F5862">
              <w:rPr>
                <w:rFonts w:ascii="Montserrat" w:eastAsia="Times New Roman" w:hAnsi="Montserrat" w:cs="Arial"/>
                <w:sz w:val="18"/>
                <w:szCs w:val="18"/>
              </w:rPr>
              <w:t>‘mxA’</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FC96618" w14:textId="77777777" w:rsidR="005F5862" w:rsidRPr="005F5862" w:rsidRDefault="005F5862" w:rsidP="005F5862">
            <w:pPr>
              <w:pStyle w:val="Prrafodelista"/>
              <w:tabs>
                <w:tab w:val="left" w:pos="7260"/>
              </w:tabs>
              <w:spacing w:after="0"/>
              <w:ind w:left="567" w:hanging="449"/>
              <w:rPr>
                <w:rFonts w:ascii="Montserrat" w:eastAsia="Times New Roman" w:hAnsi="Montserrat" w:cs="Arial"/>
                <w:sz w:val="18"/>
                <w:szCs w:val="18"/>
              </w:rPr>
            </w:pPr>
            <w:r w:rsidRPr="005F5862">
              <w:rPr>
                <w:rFonts w:ascii="Montserrat" w:eastAsia="Times New Roman" w:hAnsi="Montserrat" w:cs="Arial"/>
                <w:sz w:val="18"/>
                <w:szCs w:val="18"/>
              </w:rPr>
              <w:t>Estable</w:t>
            </w:r>
          </w:p>
        </w:tc>
      </w:tr>
      <w:tr w:rsidR="00AA1A78" w:rsidRPr="005F5862" w14:paraId="270A57D2" w14:textId="77777777" w:rsidTr="00C953B4">
        <w:trPr>
          <w:trHeight w:val="450"/>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51BE70E1"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Fitch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1FD37B1"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‘A(mex)’</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A4E2D82"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Estable</w:t>
            </w:r>
          </w:p>
        </w:tc>
        <w:tc>
          <w:tcPr>
            <w:tcW w:w="1558" w:type="dxa"/>
            <w:tcBorders>
              <w:top w:val="single" w:sz="4" w:space="0" w:color="auto"/>
              <w:left w:val="single" w:sz="4" w:space="0" w:color="auto"/>
              <w:bottom w:val="single" w:sz="4" w:space="0" w:color="auto"/>
              <w:right w:val="single" w:sz="4" w:space="0" w:color="auto"/>
            </w:tcBorders>
            <w:vAlign w:val="center"/>
          </w:tcPr>
          <w:p w14:paraId="6434B482" w14:textId="77777777" w:rsidR="005F5862" w:rsidRPr="005F5862" w:rsidRDefault="005F5862" w:rsidP="005F5862">
            <w:pPr>
              <w:pStyle w:val="Prrafodelista"/>
              <w:tabs>
                <w:tab w:val="left" w:pos="7260"/>
              </w:tabs>
              <w:spacing w:after="0"/>
              <w:ind w:left="567"/>
              <w:rPr>
                <w:rFonts w:ascii="Montserrat" w:eastAsia="Times New Roman" w:hAnsi="Montserrat" w:cs="Arial"/>
                <w:sz w:val="18"/>
                <w:szCs w:val="18"/>
              </w:rPr>
            </w:pPr>
          </w:p>
        </w:tc>
        <w:tc>
          <w:tcPr>
            <w:tcW w:w="1456" w:type="dxa"/>
            <w:tcBorders>
              <w:top w:val="single" w:sz="4" w:space="0" w:color="auto"/>
              <w:left w:val="single" w:sz="4" w:space="0" w:color="auto"/>
              <w:bottom w:val="single" w:sz="4" w:space="0" w:color="auto"/>
              <w:right w:val="single" w:sz="4" w:space="0" w:color="auto"/>
            </w:tcBorders>
            <w:vAlign w:val="center"/>
          </w:tcPr>
          <w:p w14:paraId="54FDC8BA" w14:textId="77777777" w:rsidR="005F5862" w:rsidRPr="005F5862" w:rsidRDefault="005F5862" w:rsidP="005F5862">
            <w:pPr>
              <w:pStyle w:val="Prrafodelista"/>
              <w:tabs>
                <w:tab w:val="left" w:pos="7260"/>
              </w:tabs>
              <w:spacing w:after="0"/>
              <w:ind w:left="567"/>
              <w:rPr>
                <w:rFonts w:ascii="Montserrat" w:eastAsia="Times New Roman" w:hAnsi="Montserrat" w:cs="Arial"/>
                <w:sz w:val="18"/>
                <w:szCs w:val="18"/>
              </w:rPr>
            </w:pPr>
          </w:p>
        </w:tc>
      </w:tr>
      <w:tr w:rsidR="00AA1A78" w:rsidRPr="005F5862" w14:paraId="2828C7BB" w14:textId="77777777" w:rsidTr="00C953B4">
        <w:trPr>
          <w:trHeight w:val="414"/>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52D7DB5F"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Moody’s</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E079B50"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(A-.mx)</w:t>
            </w:r>
          </w:p>
        </w:tc>
        <w:tc>
          <w:tcPr>
            <w:tcW w:w="1834" w:type="dxa"/>
            <w:tcBorders>
              <w:top w:val="single" w:sz="4" w:space="0" w:color="auto"/>
              <w:left w:val="single" w:sz="4" w:space="0" w:color="auto"/>
              <w:bottom w:val="single" w:sz="4" w:space="0" w:color="auto"/>
              <w:right w:val="single" w:sz="4" w:space="0" w:color="auto"/>
            </w:tcBorders>
            <w:vAlign w:val="center"/>
            <w:hideMark/>
          </w:tcPr>
          <w:p w14:paraId="44DE10B2" w14:textId="77777777" w:rsidR="005F5862" w:rsidRPr="005F5862" w:rsidRDefault="005F5862" w:rsidP="005F5862">
            <w:pPr>
              <w:pStyle w:val="Prrafodelista"/>
              <w:tabs>
                <w:tab w:val="left" w:pos="7260"/>
              </w:tabs>
              <w:spacing w:after="0"/>
              <w:ind w:left="108"/>
              <w:rPr>
                <w:rFonts w:ascii="Montserrat" w:eastAsia="Times New Roman" w:hAnsi="Montserrat" w:cs="Arial"/>
                <w:sz w:val="18"/>
                <w:szCs w:val="18"/>
              </w:rPr>
            </w:pPr>
            <w:r w:rsidRPr="005F5862">
              <w:rPr>
                <w:rFonts w:ascii="Montserrat" w:eastAsia="Times New Roman" w:hAnsi="Montserrat" w:cs="Arial"/>
                <w:sz w:val="18"/>
                <w:szCs w:val="18"/>
              </w:rPr>
              <w:t>Estable</w:t>
            </w:r>
          </w:p>
        </w:tc>
        <w:tc>
          <w:tcPr>
            <w:tcW w:w="1558" w:type="dxa"/>
            <w:tcBorders>
              <w:top w:val="single" w:sz="4" w:space="0" w:color="auto"/>
              <w:left w:val="single" w:sz="4" w:space="0" w:color="auto"/>
              <w:bottom w:val="single" w:sz="4" w:space="0" w:color="auto"/>
              <w:right w:val="single" w:sz="4" w:space="0" w:color="auto"/>
            </w:tcBorders>
            <w:vAlign w:val="center"/>
          </w:tcPr>
          <w:p w14:paraId="16336531" w14:textId="77777777" w:rsidR="005F5862" w:rsidRPr="005F5862" w:rsidRDefault="005F5862" w:rsidP="005F5862">
            <w:pPr>
              <w:pStyle w:val="Prrafodelista"/>
              <w:tabs>
                <w:tab w:val="left" w:pos="7260"/>
              </w:tabs>
              <w:spacing w:after="0"/>
              <w:ind w:left="567"/>
              <w:rPr>
                <w:rFonts w:ascii="Montserrat" w:eastAsia="Times New Roman" w:hAnsi="Montserrat" w:cs="Arial"/>
                <w:sz w:val="18"/>
                <w:szCs w:val="18"/>
              </w:rPr>
            </w:pPr>
          </w:p>
        </w:tc>
        <w:tc>
          <w:tcPr>
            <w:tcW w:w="1456" w:type="dxa"/>
            <w:tcBorders>
              <w:top w:val="single" w:sz="4" w:space="0" w:color="auto"/>
              <w:left w:val="single" w:sz="4" w:space="0" w:color="auto"/>
              <w:bottom w:val="single" w:sz="4" w:space="0" w:color="auto"/>
              <w:right w:val="single" w:sz="4" w:space="0" w:color="auto"/>
            </w:tcBorders>
            <w:vAlign w:val="center"/>
          </w:tcPr>
          <w:p w14:paraId="4CBDCB30" w14:textId="77777777" w:rsidR="005F5862" w:rsidRPr="005F5862" w:rsidRDefault="005F5862" w:rsidP="005F5862">
            <w:pPr>
              <w:pStyle w:val="Prrafodelista"/>
              <w:tabs>
                <w:tab w:val="left" w:pos="7260"/>
              </w:tabs>
              <w:spacing w:after="0"/>
              <w:ind w:left="567"/>
              <w:rPr>
                <w:rFonts w:ascii="Montserrat" w:eastAsia="Times New Roman" w:hAnsi="Montserrat" w:cs="Arial"/>
                <w:sz w:val="18"/>
                <w:szCs w:val="18"/>
              </w:rPr>
            </w:pPr>
          </w:p>
        </w:tc>
      </w:tr>
    </w:tbl>
    <w:p w14:paraId="23D0B957"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Las opiniones de las agencias calificadoras son de importancia de tomarse en cuenta por los diagnósticos aportados sobre las fortalezas y debilidades de los resultados y perspectivas de una administración gubernamental. Además, de las sugerencias mediante observaciones que éstas proponen.</w:t>
      </w:r>
    </w:p>
    <w:p w14:paraId="0607691F"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La fuerte inversión que se está canalizando en el sureste del país con el </w:t>
      </w:r>
      <w:r w:rsidRPr="005F5862">
        <w:rPr>
          <w:rFonts w:ascii="Montserrat" w:hAnsi="Montserrat"/>
          <w:bCs/>
        </w:rPr>
        <w:lastRenderedPageBreak/>
        <w:t>apoyo de la federación con el proyecto del Corredor Transístmico (Salina Cruz, Oaxaca-Coatzacoalcos, Veracruz). Detonará un desarrollo económico en esta región oaxaqueña, además, no solamente hará cambiar la perspectiva sino también la calificación.</w:t>
      </w:r>
    </w:p>
    <w:p w14:paraId="0E49F3EE"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Los reportes por parte de las calificadoras en el año de 2023 y contando el reporte reciente de Standard and Poo´s , han sido de los mejores desde que el Estado de Oaxaca contrató los servicios profesionales de estas instituciones externas. La subida de la calificación soberana del Estado y los buenos términos de la perspectiva de la misma. Las agencias se basaron en las siguientes fortalezas:</w:t>
      </w:r>
    </w:p>
    <w:p w14:paraId="461FB6D8"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El Estado no contrató financiamiento de corto ni lago plazos durante los años 2022 y 2023.</w:t>
      </w:r>
    </w:p>
    <w:p w14:paraId="49B65DF3"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743F192D"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deuda pública a largo plazo está respaldada con operaciones de coberturas financieras (Swap).</w:t>
      </w:r>
    </w:p>
    <w:p w14:paraId="33B5D4C0"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Políticas fiscales y administrativas para mantener e incrementar los niveles de recaudación local.</w:t>
      </w:r>
    </w:p>
    <w:p w14:paraId="61AF97E6"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generación adecuada de ahorro interno.</w:t>
      </w:r>
    </w:p>
    <w:p w14:paraId="28633DB4"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Disminución en el riesgo de liquidez. </w:t>
      </w:r>
    </w:p>
    <w:p w14:paraId="5D5D85EB"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Las opiniones siguientes son tomadas de los reportes que las diferentes agencias calificadoras que emiten para el conocimiento del interés público.</w:t>
      </w:r>
    </w:p>
    <w:p w14:paraId="326A9D66" w14:textId="77777777" w:rsidR="005F5862" w:rsidRPr="005F5862" w:rsidRDefault="005F5862" w:rsidP="00882EAC">
      <w:pPr>
        <w:widowControl w:val="0"/>
        <w:spacing w:before="240" w:after="240"/>
        <w:jc w:val="both"/>
        <w:rPr>
          <w:rFonts w:ascii="Montserrat" w:hAnsi="Montserrat"/>
          <w:b/>
        </w:rPr>
      </w:pPr>
      <w:r w:rsidRPr="005F5862">
        <w:rPr>
          <w:rFonts w:ascii="Montserrat" w:hAnsi="Montserrat"/>
          <w:b/>
        </w:rPr>
        <w:t xml:space="preserve">HR RATINGS (noviembre 06, 2023).  </w:t>
      </w:r>
    </w:p>
    <w:p w14:paraId="0C37CE3A"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HR Ratings revisó al alza la calificación sub soberana del Estado de Oaxaca, de HR A a HR A+ con la Perspectiva Estable. Es una buena nota que refrenda los resultados de las gestiones realizadas durante el periodo 2022 – 2023. La opinión de la calificadora se concreta en los siguientes términos “La revisión al alza obedece a una reducción observada y proyectada en la métrica de Deuda Neta Ajustada (DNA) 2021 66.9 % y 2022 48.8 % </w:t>
      </w:r>
      <w:r w:rsidRPr="005F5862">
        <w:rPr>
          <w:rFonts w:ascii="Montserrat" w:hAnsi="Montserrat"/>
          <w:bCs/>
        </w:rPr>
        <w:lastRenderedPageBreak/>
        <w:t>respectivamente. y en la métrica de Pasivo Circulante (PC) reducción de -44.3 % 2022 con respecto de 2021, motivada por el crecimiento reportado en los Ingresos de Libre Disposición (ILD) de un incremento de 37.7 % en relación 2021. Así mismo obedece a que no se contrataron financiamientos de largo y cortos plazos durante 2022, también en la revisión justamente en los lineamientos estimados por HR Ratings con respecto con la revisión del año anterior y al segundo trimestre de 2023. Además, la deuda pública para este año presenta una tendencia decreciente.</w:t>
      </w:r>
    </w:p>
    <w:p w14:paraId="1AB18987"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En particular en el análisis de HR, había pronosticado en sus cálculos estimados datos superiores al resultado definitivo basado en el reporte de seguimiento con fecha 26 de septiembre de 2022, como son: DNA/ ILD, PC/ILD y SD/ILD.</w:t>
      </w:r>
    </w:p>
    <w:p w14:paraId="18A41F1A"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Factores que podrían subir la calificación:</w:t>
      </w:r>
    </w:p>
    <w:p w14:paraId="6B49ECA1"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Reducción del endeudamiento relativo. “Un desempeño fiscal superior al esperado se Odría reflejar en una mayor liquidez. Lo anterior resultaría en un menor nivel de endeudamiento relativo, lo que podría impactar positivamente la calificación, en caso de que la métrica de DNA a ILD se encuentre por debajo de 40.0 %”. Para 2022 cerró en 40.8 %, el reto no será difícil de vencer.</w:t>
      </w:r>
    </w:p>
    <w:p w14:paraId="5A99B2DD"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Factores que podrían bajar la calificación:</w:t>
      </w:r>
    </w:p>
    <w:p w14:paraId="36FED38C"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Resultados fiscales inferiores y un aumento en las métricas de endeudamiento. Una reducción de los Ingresos Líquidos Disponible que reflejaría una falta de liquidez, por consecuencia se reflejaría en recurrir al financiamiento a corto plazo y al pasivo circulante. La métrica PC/ILD se mayor del 25.0 %. Para 2022 registra el 11.5 %. Así mismo, que actualmente es el caso que la Deuda Quirografaria / la Deuda Total no se exceda del 15.0 %.</w:t>
      </w:r>
    </w:p>
    <w:p w14:paraId="38097C1B" w14:textId="77777777" w:rsidR="005F5862" w:rsidRPr="005F5862" w:rsidRDefault="005F5862" w:rsidP="00882EAC">
      <w:pPr>
        <w:widowControl w:val="0"/>
        <w:spacing w:before="240" w:after="240"/>
        <w:jc w:val="both"/>
        <w:rPr>
          <w:rFonts w:ascii="Montserrat" w:hAnsi="Montserrat"/>
          <w:b/>
        </w:rPr>
      </w:pPr>
      <w:r w:rsidRPr="005F5862">
        <w:rPr>
          <w:rFonts w:ascii="Montserrat" w:hAnsi="Montserrat"/>
          <w:b/>
        </w:rPr>
        <w:t>MOODY'S (diciembre 18, 2023).</w:t>
      </w:r>
    </w:p>
    <w:p w14:paraId="5EEAF086"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agencia calificadora Moody's, ratifica la calificación de riesgo crediticio de la deuda del estado de Oaxaca de A-mx. con la Perspectiva a Estable.</w:t>
      </w:r>
    </w:p>
    <w:p w14:paraId="761A20EA"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La calificación soberana del Estado de Oaxaca, la calificadora Moody’s, la mantiene en A-mx. con Perspectiva Estable, fundamentada en el resultado de balances operativos superavitarios y resultados financieros en promedio </w:t>
      </w:r>
      <w:r w:rsidRPr="005F5862">
        <w:rPr>
          <w:rFonts w:ascii="Montserrat" w:hAnsi="Montserrat"/>
          <w:bCs/>
        </w:rPr>
        <w:lastRenderedPageBreak/>
        <w:t>equilibrados, mejora en la liquidez. Considera que la deuda directa e indirecta es alta pero decreciente y como dato sobresaliente es que el Estado no depende de los financiamientos de corto plazo. Así mismo, Moody’s estima para 2023 y 2024 que el Estado seguirá reportando superávits operativos y financieros modestos respaldando una adecuada posición de liquidez.</w:t>
      </w:r>
    </w:p>
    <w:p w14:paraId="7FE6F0F2"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calificadora identifica para el Estado como Fortaleza crediticia de gran importancia: Balance operativos y financieros en promedio positivos y posición de liquidez adecuada. Y marca como retos crediticios: el alto nivel de endeudamiento, baja recaudación y pasivos no fondeados por pensiones y otros adeudos.</w:t>
      </w:r>
    </w:p>
    <w:p w14:paraId="49B67C05"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perspectiva de la calificación para el Estado es estable, Moody’s aprecia que se mantendrá balance operativos superavitarios, resultados financieros equilibrados, una posición de liquidez adecuada y un nivel de endeudamiento decreciente y sin dependencia de créditos a corto plazo.</w:t>
      </w:r>
    </w:p>
    <w:p w14:paraId="10AB9AB3"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importancia del análisis de la perspectiva implica porque determina en un momento dado la posibilidad de subir o bajar la calificación de una emisora. En el caso de Oaxaca, no se ve próximo a un cambio de opinión que la calificadora modifique al alza o a la baja la calificación porque la ha determinado como Estable.</w:t>
      </w:r>
    </w:p>
    <w:p w14:paraId="047FF685"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En resumen, Moody’s aporta lo siguiente:</w:t>
      </w:r>
    </w:p>
    <w:p w14:paraId="5AE4CAB1"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“Perspectiva de la calificación. La perspectiva de la calificación es estable y refleja nuestra expectativa de que Oaxaca mantendrá balances operativos superavitarios, resultados financieros equilibrados, una posición de liquidez estable y un nivel de endeudamiento decreciente.</w:t>
      </w:r>
    </w:p>
    <w:p w14:paraId="4D0E74A1"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Factores que podrían cambiar la calificación al alza:</w:t>
      </w:r>
    </w:p>
    <w:p w14:paraId="3E9D266C"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Dado que la perspectiva de la calificación es estable, no esperamos un alza de la calificación. Sin embargo, en caso de que Oaxaca fortalezca sus balances financieros y por consecuencia su posición de liquidez, son factores que podrían generar presión al alza en la calificación.</w:t>
      </w:r>
    </w:p>
    <w:p w14:paraId="48F60D05"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Factores que podrían cambiar la calificación a la baja: </w:t>
      </w:r>
    </w:p>
    <w:p w14:paraId="225E4924"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Puesto que la perspectiva de la calificación es estable, no esperamos una </w:t>
      </w:r>
      <w:r w:rsidRPr="005F5862">
        <w:rPr>
          <w:rFonts w:ascii="Montserrat" w:hAnsi="Montserrat"/>
          <w:bCs/>
        </w:rPr>
        <w:lastRenderedPageBreak/>
        <w:t>baja de la calificación. Empero, en caso de que se presente un deterioro en la posición de liquidez, por debajo de los niveles observados, en conjunto con uso elevado de deuda de corto plazo y un debilitamiento de los balances operativos y financieros, son factores que podrían ejercer presión a la baja en la calificación”.</w:t>
      </w:r>
    </w:p>
    <w:p w14:paraId="10344F22" w14:textId="77777777" w:rsidR="005F5862" w:rsidRPr="005F5862" w:rsidRDefault="005F5862" w:rsidP="00882EAC">
      <w:pPr>
        <w:widowControl w:val="0"/>
        <w:spacing w:before="240" w:after="240"/>
        <w:jc w:val="both"/>
        <w:rPr>
          <w:rFonts w:ascii="Montserrat" w:hAnsi="Montserrat"/>
          <w:b/>
        </w:rPr>
      </w:pPr>
      <w:r w:rsidRPr="005F5862">
        <w:rPr>
          <w:rFonts w:ascii="Montserrat" w:hAnsi="Montserrat"/>
          <w:b/>
        </w:rPr>
        <w:t>STANDARD &amp; POOR’S (septiembre 23, 2024)</w:t>
      </w:r>
    </w:p>
    <w:p w14:paraId="5ED6A96B"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Institución Calificadora de Valores Standard &amp; Poor’s Global Rantings, en esta reciente revisión 2024, confirmó la calificación para el Estado de Oaxaca a ‘mxA‘, así mismo, la Perspectiva la mantiene en Estable. Esta notificación, robustece la confianza crediticia hacia el Estado.</w:t>
      </w:r>
    </w:p>
    <w:p w14:paraId="466803F4"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institución calificadora fundamenta su criterio de ratificar la calificación crediticia del Estado de Oaxaca, considerando los siguientes aspectos: la presente administración financiera mantendrá resultados fiscales balanceados, que limitaría las necesidades de financiamiento a corto plazo, el impacto positivo de los proyectos que ejecute el gobierno federal en la economía general y en los ingresos locales mediante transferencias federales. Así mismo, contempla que esta administración manga sus niveles bajos de endeudamiento. La dependencia de las transferencias federales de gasto se mantendrá relativamente altas y la posición de liquidez del estado está sujeta a volatilidad. La ratificación de la calificación, la calificadora incorpora el nivel de un perfil socioeconómico más débil comparado con el promedio nacional.</w:t>
      </w:r>
    </w:p>
    <w:p w14:paraId="2070E034"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En un escenario para que diera pauta que la calificadora llegara a bajar la calificación sería que el desempeño presupuestal se llega deteriorar debido a una presión del gasto mayor a la esperada o menor dinamismo de los ingresos, que llegara a derivar u déficits después de gasto de inversión mayores a 5 % de sus ingresos totales que provocaría un deterioro marcado en la posición financiera de liquidez o a requerir a la contratación de un financiamiento a corto plazo.</w:t>
      </w:r>
    </w:p>
    <w:p w14:paraId="6C45F68A"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Para que la calificadora tomara la decisión de subir la calificación de riesgo crediticia subsoberana al Estado, tendría que observar un crecimiento económico por encima del de sus pares nacionales e internacionales que llegara a tener una incidencia en mejora del ingreso per cápita. </w:t>
      </w:r>
    </w:p>
    <w:p w14:paraId="43A2865A" w14:textId="77777777" w:rsidR="004B3002" w:rsidRDefault="004B3002" w:rsidP="00882EAC">
      <w:pPr>
        <w:widowControl w:val="0"/>
        <w:spacing w:before="240" w:after="240"/>
        <w:jc w:val="both"/>
        <w:rPr>
          <w:rFonts w:ascii="Montserrat" w:hAnsi="Montserrat"/>
          <w:b/>
        </w:rPr>
      </w:pPr>
    </w:p>
    <w:p w14:paraId="1BC0F9BC" w14:textId="45AAC709" w:rsidR="005F5862" w:rsidRPr="005F5862" w:rsidRDefault="005F5862" w:rsidP="00882EAC">
      <w:pPr>
        <w:widowControl w:val="0"/>
        <w:spacing w:before="240" w:after="240"/>
        <w:jc w:val="both"/>
        <w:rPr>
          <w:rFonts w:ascii="Montserrat" w:hAnsi="Montserrat"/>
          <w:b/>
        </w:rPr>
      </w:pPr>
      <w:r w:rsidRPr="005F5862">
        <w:rPr>
          <w:rFonts w:ascii="Montserrat" w:hAnsi="Montserrat"/>
          <w:b/>
        </w:rPr>
        <w:lastRenderedPageBreak/>
        <w:t>FITCH RATINGS (noviembre 27, 2023).</w:t>
      </w:r>
    </w:p>
    <w:p w14:paraId="129B8B6F"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Fitch Ratings subió la calificación nacional de largo plazo del Estado de Oaxaca a ‘A(mex)’ Perspectiva Estable desde ‘A-(mex)’ Perspectiva Positiva.</w:t>
      </w:r>
    </w:p>
    <w:p w14:paraId="7710C40E"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Esta Institución Calificadora de Valores, considera que el alza de la calificación es debido por la recuperación en el Balance Operativo (BO) observado en 2022, “que permitió mejorar la posición de liquidez del estado e inclusive cerrar el ejercicio fiscal sin contratación de deuda de corto plazo”. </w:t>
      </w:r>
    </w:p>
    <w:p w14:paraId="43E8FB7F"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En relación a la Perspectiva, Fitch observa que el manejo de la deuda pública como baja y manejable con posibilidades de realizar repagos.</w:t>
      </w:r>
    </w:p>
    <w:p w14:paraId="476C4F62"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 observación en materia de ingresos, la agencia se refiere sobre este aspecto que el Estado se mantiene como una de las entidades federativas con mayor dependencia de las transferencias federales de un promedio de los 5 últimos años de 93.4 % de los ingresos totales.</w:t>
      </w:r>
    </w:p>
    <w:p w14:paraId="05D46C99"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Una de las apreciaciones de Fitch es en el gasto que se mantiene con un comportamiento moderado. </w:t>
      </w:r>
    </w:p>
    <w:p w14:paraId="3BBC0203"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En base a las normas de la Ley Federal de Disciplina Financiera para las Entidades Federativas y los Municipios, El Estado cuenta con el mejor perfil para el endeudamiento: 15.0 % de sus Ingresos de Libre Disposición en deuda a largo plazo y a corto plazo hasta el 6.0 % de los Ingresos Totales. La administración presente, no tiene por el momento la idea de incurrir en ningún tipo de endeudamiento como estrategia de hacerse de liquidez.</w:t>
      </w:r>
    </w:p>
    <w:p w14:paraId="73F1AE98" w14:textId="77777777" w:rsidR="005F5862" w:rsidRPr="005F5862" w:rsidRDefault="005F5862" w:rsidP="00882EAC">
      <w:pPr>
        <w:widowControl w:val="0"/>
        <w:spacing w:before="240" w:after="240"/>
        <w:jc w:val="both"/>
        <w:rPr>
          <w:rFonts w:ascii="Montserrat" w:hAnsi="Montserrat"/>
          <w:b/>
        </w:rPr>
      </w:pPr>
      <w:r w:rsidRPr="005F5862">
        <w:rPr>
          <w:rFonts w:ascii="Montserrat" w:hAnsi="Montserrat"/>
          <w:b/>
        </w:rPr>
        <w:t xml:space="preserve">CONCLUSIÓN: </w:t>
      </w:r>
    </w:p>
    <w:p w14:paraId="100BBC55"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 xml:space="preserve">Las cuatro agencias calificadoras en términos generales y particulares sostienen al cierre del Tercer Trimestre de 2024, la opinión de que el Estado cumple con sus obligaciones financieras ante cualquier adversidad económica, social y de estrés económico. Así mismo, es relevante que sigan observando que esta administración continua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3F4E7400"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lastRenderedPageBreak/>
        <w:t>Se debe tener presente que las calificaciones también tienen injerencia en el servicio de la deuda, con efecto de subir o bajar el monto. La particularidad en este aspecto, el servicio de la deuda del Gobierno del Estado de Oaxaca se ha mantenido estable.</w:t>
      </w:r>
    </w:p>
    <w:p w14:paraId="0342532B" w14:textId="77777777" w:rsidR="005F5862" w:rsidRPr="005F5862" w:rsidRDefault="005F5862" w:rsidP="00882EAC">
      <w:pPr>
        <w:widowControl w:val="0"/>
        <w:spacing w:before="240" w:after="240"/>
        <w:jc w:val="both"/>
        <w:rPr>
          <w:rFonts w:ascii="Montserrat" w:hAnsi="Montserrat"/>
          <w:bCs/>
        </w:rPr>
      </w:pPr>
      <w:r w:rsidRPr="005F5862">
        <w:rPr>
          <w:rFonts w:ascii="Montserrat" w:hAnsi="Montserrat"/>
          <w:bCs/>
        </w:rPr>
        <w:t>Las agencias calificadoras Fitch, Standard and Poor’s, Moody’s y HR Rarings  coinciden en emitir su criterio y declaran en términos categóricos lo siguiente,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B633E52" w14:textId="77777777" w:rsidR="00B0059B" w:rsidRPr="00FD2DE6" w:rsidRDefault="00B0059B" w:rsidP="00926C5C">
      <w:pPr>
        <w:pStyle w:val="Prrafodelista"/>
        <w:keepNext/>
        <w:widowControl w:val="0"/>
        <w:numPr>
          <w:ilvl w:val="0"/>
          <w:numId w:val="6"/>
        </w:numPr>
        <w:ind w:left="425" w:hanging="425"/>
        <w:jc w:val="both"/>
        <w:rPr>
          <w:rFonts w:ascii="Montserrat" w:hAnsi="Montserrat"/>
          <w:b/>
          <w:sz w:val="24"/>
          <w:szCs w:val="24"/>
        </w:rPr>
      </w:pPr>
      <w:r w:rsidRPr="00FD2DE6">
        <w:rPr>
          <w:rFonts w:ascii="Montserrat" w:hAnsi="Montserrat"/>
          <w:b/>
          <w:sz w:val="24"/>
          <w:szCs w:val="24"/>
        </w:rPr>
        <w:t>Proceso de Mejora</w:t>
      </w:r>
    </w:p>
    <w:p w14:paraId="295AB94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hacia el logro de sus objetivos y metas, evaluar y supervisar su funcionamiento y emitir las acciones para su mejora continua.</w:t>
      </w:r>
    </w:p>
    <w:p w14:paraId="18831C22" w14:textId="77777777" w:rsidR="00B0059B" w:rsidRPr="00FD2DE6" w:rsidRDefault="00B0059B" w:rsidP="00B0059B">
      <w:pPr>
        <w:tabs>
          <w:tab w:val="left" w:pos="7260"/>
        </w:tabs>
        <w:jc w:val="both"/>
        <w:rPr>
          <w:rFonts w:ascii="Montserrat" w:eastAsia="Times New Roman" w:hAnsi="Montserrat" w:cs="Arial"/>
        </w:rPr>
      </w:pPr>
    </w:p>
    <w:p w14:paraId="0678CE20" w14:textId="42485AB9" w:rsidR="001B0EE1" w:rsidRDefault="00B0059B" w:rsidP="00882EAC">
      <w:pPr>
        <w:tabs>
          <w:tab w:val="left" w:pos="7260"/>
        </w:tabs>
        <w:jc w:val="both"/>
        <w:rPr>
          <w:rFonts w:ascii="Montserrat" w:eastAsia="Times New Roman" w:hAnsi="Montserrat" w:cs="Arial"/>
        </w:rPr>
      </w:pPr>
      <w:r w:rsidRPr="00FD2DE6">
        <w:rPr>
          <w:rFonts w:ascii="Montserrat" w:eastAsia="Times New Roman" w:hAnsi="Montserrat" w:cs="Arial"/>
        </w:rPr>
        <w:t>La Secretaría de Administración, está llevando a cabo la modernización del Sistema Integral de Control Patrimonial (SICIPO), mismo que tiene como principal objetivo lograr la eficiencia en la administración de los bienes muebles e inmuebles propiedad del Estado, mismo que se implement</w:t>
      </w:r>
      <w:r w:rsidR="00882EAC">
        <w:rPr>
          <w:rFonts w:ascii="Montserrat" w:eastAsia="Times New Roman" w:hAnsi="Montserrat" w:cs="Arial"/>
        </w:rPr>
        <w:t xml:space="preserve">ó </w:t>
      </w:r>
      <w:r w:rsidRPr="00FD2DE6">
        <w:rPr>
          <w:rFonts w:ascii="Montserrat" w:eastAsia="Times New Roman" w:hAnsi="Montserrat" w:cs="Arial"/>
        </w:rPr>
        <w:t xml:space="preserve">durante </w:t>
      </w:r>
      <w:r w:rsidR="00882EAC">
        <w:rPr>
          <w:rFonts w:ascii="Montserrat" w:eastAsia="Times New Roman" w:hAnsi="Montserrat" w:cs="Arial"/>
        </w:rPr>
        <w:t>los primeros meses d</w:t>
      </w:r>
      <w:r w:rsidRPr="00FD2DE6">
        <w:rPr>
          <w:rFonts w:ascii="Montserrat" w:eastAsia="Times New Roman" w:hAnsi="Montserrat" w:cs="Arial"/>
        </w:rPr>
        <w:t>el ejercicio 2024</w:t>
      </w:r>
      <w:r w:rsidR="00882EAC">
        <w:rPr>
          <w:rFonts w:ascii="Montserrat" w:eastAsia="Times New Roman" w:hAnsi="Montserrat" w:cs="Arial"/>
        </w:rPr>
        <w:t xml:space="preserve"> y que sigue en proceso de estabilización y mejora continua</w:t>
      </w:r>
    </w:p>
    <w:p w14:paraId="1C42F37D" w14:textId="77777777" w:rsidR="00882EAC" w:rsidRPr="00FD2DE6" w:rsidRDefault="00882EAC" w:rsidP="00882EAC">
      <w:pPr>
        <w:tabs>
          <w:tab w:val="left" w:pos="7260"/>
        </w:tabs>
        <w:jc w:val="both"/>
        <w:rPr>
          <w:rFonts w:ascii="Montserrat" w:eastAsia="Times New Roman" w:hAnsi="Montserrat" w:cs="Arial"/>
        </w:rPr>
      </w:pPr>
    </w:p>
    <w:p w14:paraId="63886655"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1D5143C0" w14:textId="77777777" w:rsidR="00B0059B" w:rsidRDefault="00B0059B" w:rsidP="00B0059B">
      <w:pPr>
        <w:tabs>
          <w:tab w:val="left" w:pos="7260"/>
        </w:tabs>
        <w:jc w:val="both"/>
        <w:rPr>
          <w:rFonts w:ascii="Montserrat" w:eastAsia="Times New Roman" w:hAnsi="Montserrat" w:cs="Arial"/>
        </w:rPr>
      </w:pPr>
    </w:p>
    <w:p w14:paraId="6CA9BCD4" w14:textId="77777777" w:rsidR="004B3002" w:rsidRPr="00FD2DE6" w:rsidRDefault="004B3002" w:rsidP="00B0059B">
      <w:pPr>
        <w:tabs>
          <w:tab w:val="left" w:pos="7260"/>
        </w:tabs>
        <w:jc w:val="both"/>
        <w:rPr>
          <w:rFonts w:ascii="Montserrat" w:eastAsia="Times New Roman" w:hAnsi="Montserrat" w:cs="Arial"/>
        </w:rPr>
      </w:pPr>
    </w:p>
    <w:p w14:paraId="22106ADB"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lastRenderedPageBreak/>
        <w:t>Información por Segmentos</w:t>
      </w:r>
    </w:p>
    <w:p w14:paraId="6AE017B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FD2DE6" w:rsidRDefault="00B0059B" w:rsidP="00B0059B">
      <w:pPr>
        <w:tabs>
          <w:tab w:val="left" w:pos="7260"/>
        </w:tabs>
        <w:jc w:val="both"/>
        <w:rPr>
          <w:rFonts w:ascii="Montserrat" w:eastAsia="Times New Roman" w:hAnsi="Montserrat" w:cs="Arial"/>
        </w:rPr>
      </w:pPr>
    </w:p>
    <w:p w14:paraId="20F8F5A3"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Por lo anterior, la información del Poder Ejecutivo se apega a los lineamientos establecidos por el CONAC y no se presenta información por segmentos.</w:t>
      </w:r>
    </w:p>
    <w:p w14:paraId="1B0E0404" w14:textId="77777777" w:rsidR="00F60DC8" w:rsidRPr="00FD2DE6" w:rsidRDefault="00F60DC8" w:rsidP="00B0059B">
      <w:pPr>
        <w:tabs>
          <w:tab w:val="left" w:pos="7260"/>
        </w:tabs>
        <w:jc w:val="both"/>
        <w:rPr>
          <w:rFonts w:ascii="Montserrat" w:eastAsia="Times New Roman" w:hAnsi="Montserrat" w:cs="Arial"/>
        </w:rPr>
      </w:pPr>
    </w:p>
    <w:p w14:paraId="7610B138"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Eventos Posteriores al Cierre</w:t>
      </w:r>
    </w:p>
    <w:p w14:paraId="796BACA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la fecha del presente informe no se identifican eventos posteriores al cierre que afecten económicamente al ente público.</w:t>
      </w:r>
    </w:p>
    <w:p w14:paraId="4C30B7A1" w14:textId="77777777" w:rsidR="00A73E15" w:rsidRPr="00FD2DE6" w:rsidRDefault="00A73E15" w:rsidP="00B0059B">
      <w:pPr>
        <w:pStyle w:val="Prrafodelista"/>
        <w:widowControl w:val="0"/>
        <w:ind w:left="426"/>
        <w:jc w:val="both"/>
        <w:rPr>
          <w:rFonts w:ascii="Montserrat" w:hAnsi="Montserrat"/>
          <w:b/>
          <w:sz w:val="24"/>
          <w:szCs w:val="24"/>
        </w:rPr>
      </w:pPr>
    </w:p>
    <w:p w14:paraId="61102CB8"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Partes Relacionadas.</w:t>
      </w:r>
    </w:p>
    <w:p w14:paraId="449069C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existen partes relacionadas que influyan en la toma de decisiones financieras y operativas en la información contable, presupuestaria y programática.</w:t>
      </w:r>
    </w:p>
    <w:p w14:paraId="132ABE42" w14:textId="77777777" w:rsidR="00B0059B" w:rsidRPr="00FD2DE6" w:rsidRDefault="00B0059B" w:rsidP="00B0059B">
      <w:pPr>
        <w:tabs>
          <w:tab w:val="left" w:pos="7260"/>
        </w:tabs>
        <w:jc w:val="both"/>
        <w:rPr>
          <w:rFonts w:ascii="Montserrat" w:eastAsia="Times New Roman" w:hAnsi="Montserrat" w:cs="Arial"/>
        </w:rPr>
      </w:pPr>
    </w:p>
    <w:p w14:paraId="443125A3"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Responsabilidad sobre la Presentación Razonable de los Estados Financieros.</w:t>
      </w:r>
    </w:p>
    <w:p w14:paraId="2C7DB210" w14:textId="6D1DD72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del Poder Ejecutivo son elaborados por la Secretaría de Finanzas bajo la responsabilidad de la Dirección de Contabilidad</w:t>
      </w:r>
      <w:r w:rsidR="002777EB">
        <w:rPr>
          <w:rFonts w:ascii="Montserrat" w:eastAsia="Times New Roman" w:hAnsi="Montserrat" w:cs="Arial"/>
        </w:rPr>
        <w:t xml:space="preserve"> Gubernamental</w:t>
      </w:r>
      <w:r w:rsidRPr="00FD2DE6">
        <w:rPr>
          <w:rFonts w:ascii="Montserrat" w:eastAsia="Times New Roman" w:hAnsi="Montserrat" w:cs="Arial"/>
        </w:rPr>
        <w:t xml:space="preserve">,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w:t>
      </w:r>
      <w:r w:rsidRPr="00FD2DE6">
        <w:rPr>
          <w:rFonts w:ascii="Montserrat" w:eastAsia="Times New Roman" w:hAnsi="Montserrat" w:cs="Arial"/>
        </w:rPr>
        <w:lastRenderedPageBreak/>
        <w:t>Financieros básicos emitido por el Consejo Nacional de Armonización Contable (CONAC), se presenta firmada en cada página y cuenta con la leyenda</w:t>
      </w:r>
      <w:r w:rsidR="002777EB">
        <w:rPr>
          <w:rFonts w:ascii="Montserrat" w:eastAsia="Times New Roman" w:hAnsi="Montserrat" w:cs="Arial"/>
        </w:rPr>
        <w:t xml:space="preserve"> </w:t>
      </w:r>
      <w:r w:rsidRPr="00FD2DE6">
        <w:rPr>
          <w:rFonts w:ascii="Montserrat" w:eastAsia="Times New Roman" w:hAnsi="Montserrat" w:cs="Arial"/>
        </w:rPr>
        <w:t>”Bajo protesta de decir verdad declaramos que los Estados Financieros y sus notas, son razonablemente correctos y son responsabilidad del emisor”.</w:t>
      </w:r>
    </w:p>
    <w:p w14:paraId="6D24CD1A" w14:textId="77777777" w:rsidR="00B0059B" w:rsidRPr="00FD2DE6" w:rsidRDefault="00B0059B" w:rsidP="00B0059B">
      <w:pPr>
        <w:tabs>
          <w:tab w:val="left" w:pos="7260"/>
        </w:tabs>
        <w:jc w:val="both"/>
        <w:rPr>
          <w:rFonts w:ascii="Montserrat" w:eastAsia="Times New Roman" w:hAnsi="Montserrat" w:cs="Arial"/>
        </w:rPr>
      </w:pPr>
    </w:p>
    <w:p w14:paraId="0D026D12" w14:textId="2CD3D74F" w:rsidR="001B0EE1" w:rsidRPr="00FD2DE6" w:rsidRDefault="001B0EE1">
      <w:pPr>
        <w:rPr>
          <w:rFonts w:ascii="Montserrat" w:hAnsi="Montserrat"/>
          <w:b/>
        </w:rPr>
      </w:pPr>
      <w:r w:rsidRPr="00FD2DE6">
        <w:rPr>
          <w:rFonts w:ascii="Montserrat" w:hAnsi="Montserrat"/>
          <w:b/>
        </w:rPr>
        <w:br w:type="page"/>
      </w:r>
    </w:p>
    <w:p w14:paraId="192F4F24" w14:textId="4594BD48" w:rsidR="005556D5" w:rsidRPr="00192892" w:rsidRDefault="005556D5" w:rsidP="006549CB">
      <w:pPr>
        <w:tabs>
          <w:tab w:val="left" w:pos="7260"/>
        </w:tabs>
        <w:jc w:val="center"/>
        <w:rPr>
          <w:rFonts w:ascii="Montserrat" w:hAnsi="Montserrat"/>
          <w:b/>
          <w:sz w:val="22"/>
          <w:szCs w:val="22"/>
        </w:rPr>
      </w:pPr>
      <w:r w:rsidRPr="00192892">
        <w:rPr>
          <w:rFonts w:ascii="Montserrat" w:hAnsi="Montserrat"/>
          <w:b/>
          <w:sz w:val="22"/>
          <w:szCs w:val="22"/>
        </w:rPr>
        <w:lastRenderedPageBreak/>
        <w:t>NOTAS DE DESGLOSE:</w:t>
      </w:r>
    </w:p>
    <w:p w14:paraId="46FBDB4B" w14:textId="77777777" w:rsidR="005556D5" w:rsidRPr="00192892" w:rsidRDefault="005556D5" w:rsidP="005556D5">
      <w:pPr>
        <w:rPr>
          <w:rFonts w:ascii="Montserrat" w:hAnsi="Montserrat"/>
          <w:sz w:val="22"/>
          <w:szCs w:val="22"/>
        </w:rPr>
      </w:pPr>
    </w:p>
    <w:p w14:paraId="6162DDF2" w14:textId="77777777" w:rsidR="007450FA" w:rsidRPr="00192892" w:rsidRDefault="007450FA" w:rsidP="005556D5">
      <w:pPr>
        <w:rPr>
          <w:rFonts w:ascii="Montserrat" w:hAnsi="Montserrat"/>
          <w:sz w:val="22"/>
          <w:szCs w:val="22"/>
        </w:rPr>
      </w:pPr>
    </w:p>
    <w:bookmarkEnd w:id="1"/>
    <w:p w14:paraId="198FA776" w14:textId="77777777" w:rsidR="00926C5C" w:rsidRPr="00192892" w:rsidRDefault="00926C5C" w:rsidP="00926C5C">
      <w:pPr>
        <w:rPr>
          <w:rFonts w:ascii="Montserrat" w:hAnsi="Montserrat"/>
          <w:b/>
          <w:bCs/>
          <w:sz w:val="22"/>
          <w:szCs w:val="22"/>
        </w:rPr>
      </w:pPr>
      <w:r w:rsidRPr="00192892">
        <w:rPr>
          <w:rFonts w:ascii="Montserrat" w:hAnsi="Montserrat"/>
          <w:b/>
          <w:bCs/>
          <w:sz w:val="22"/>
          <w:szCs w:val="22"/>
        </w:rPr>
        <w:t>NOTAS AL ESTADO DE ACTIVIDADES.</w:t>
      </w:r>
    </w:p>
    <w:p w14:paraId="37182612" w14:textId="77777777" w:rsidR="00926C5C" w:rsidRPr="00192892" w:rsidRDefault="00926C5C" w:rsidP="00926C5C">
      <w:pPr>
        <w:widowControl w:val="0"/>
        <w:jc w:val="both"/>
        <w:rPr>
          <w:rFonts w:ascii="Montserrat" w:hAnsi="Montserrat"/>
          <w:sz w:val="22"/>
          <w:szCs w:val="22"/>
        </w:rPr>
      </w:pPr>
    </w:p>
    <w:p w14:paraId="34794FF7" w14:textId="77777777" w:rsidR="00926C5C" w:rsidRPr="00192892" w:rsidRDefault="00926C5C" w:rsidP="00926C5C">
      <w:pPr>
        <w:widowControl w:val="0"/>
        <w:jc w:val="both"/>
        <w:rPr>
          <w:rFonts w:ascii="Montserrat" w:hAnsi="Montserrat"/>
          <w:sz w:val="22"/>
          <w:szCs w:val="22"/>
        </w:rPr>
      </w:pPr>
      <w:r w:rsidRPr="00192892">
        <w:rPr>
          <w:rFonts w:ascii="Montserrat" w:hAnsi="Montserrat"/>
          <w:sz w:val="22"/>
          <w:szCs w:val="22"/>
        </w:rPr>
        <w:t>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enero-septiembre de 2024 y 2023. Mismo que se muestra a continuación:</w:t>
      </w:r>
    </w:p>
    <w:p w14:paraId="2CFD7EE3" w14:textId="77777777" w:rsidR="00926C5C" w:rsidRPr="00192892" w:rsidRDefault="00926C5C" w:rsidP="00926C5C">
      <w:pPr>
        <w:spacing w:line="224" w:lineRule="exact"/>
        <w:jc w:val="both"/>
        <w:rPr>
          <w:rFonts w:ascii="Montserrat" w:hAnsi="Montserrat"/>
          <w:b/>
          <w:color w:val="000000"/>
          <w:sz w:val="22"/>
          <w:szCs w:val="22"/>
        </w:rPr>
      </w:pPr>
      <w:bookmarkStart w:id="4" w:name="_Hlk157387330"/>
    </w:p>
    <w:p w14:paraId="13F9A13C" w14:textId="77777777" w:rsidR="00926C5C" w:rsidRPr="00192892" w:rsidRDefault="00926C5C" w:rsidP="00926C5C">
      <w:pPr>
        <w:spacing w:line="224" w:lineRule="exact"/>
        <w:jc w:val="both"/>
        <w:rPr>
          <w:rFonts w:ascii="Montserrat" w:hAnsi="Montserrat"/>
          <w:b/>
          <w:color w:val="000000"/>
          <w:sz w:val="22"/>
          <w:szCs w:val="22"/>
        </w:rPr>
      </w:pPr>
    </w:p>
    <w:p w14:paraId="6AAB3B4F" w14:textId="77777777" w:rsidR="00926C5C" w:rsidRPr="00192892" w:rsidRDefault="00926C5C" w:rsidP="00926C5C">
      <w:pPr>
        <w:spacing w:line="224" w:lineRule="exact"/>
        <w:jc w:val="both"/>
        <w:rPr>
          <w:rFonts w:ascii="Montserrat" w:hAnsi="Montserrat" w:cs="Arial"/>
          <w:b/>
          <w:sz w:val="22"/>
          <w:szCs w:val="22"/>
          <w:lang w:val="es-MX"/>
        </w:rPr>
      </w:pPr>
      <w:r w:rsidRPr="00192892">
        <w:rPr>
          <w:rFonts w:ascii="Montserrat" w:hAnsi="Montserrat"/>
          <w:b/>
          <w:color w:val="000000"/>
          <w:sz w:val="22"/>
          <w:szCs w:val="22"/>
        </w:rPr>
        <w:t xml:space="preserve">Nota 1.- </w:t>
      </w:r>
      <w:r w:rsidRPr="00192892">
        <w:rPr>
          <w:rFonts w:ascii="Montserrat" w:hAnsi="Montserrat" w:cs="Arial"/>
          <w:b/>
          <w:sz w:val="22"/>
          <w:szCs w:val="22"/>
          <w:lang w:val="es-MX"/>
        </w:rPr>
        <w:t>Ingresos y Otros Beneficios</w:t>
      </w:r>
    </w:p>
    <w:bookmarkEnd w:id="4"/>
    <w:p w14:paraId="460F2E99" w14:textId="77777777" w:rsidR="00926C5C" w:rsidRPr="00192892" w:rsidRDefault="00926C5C" w:rsidP="00926C5C">
      <w:pPr>
        <w:spacing w:line="224" w:lineRule="exact"/>
        <w:jc w:val="both"/>
        <w:rPr>
          <w:rFonts w:ascii="Montserrat" w:hAnsi="Montserrat" w:cs="Arial"/>
          <w:b/>
          <w:sz w:val="22"/>
          <w:szCs w:val="22"/>
          <w:lang w:val="es-MX"/>
        </w:rPr>
      </w:pPr>
    </w:p>
    <w:p w14:paraId="4F7B88CF" w14:textId="77777777" w:rsidR="00926C5C" w:rsidRPr="00192892" w:rsidRDefault="00926C5C" w:rsidP="00926C5C">
      <w:pPr>
        <w:pBdr>
          <w:top w:val="nil"/>
          <w:left w:val="nil"/>
          <w:bottom w:val="nil"/>
          <w:right w:val="nil"/>
          <w:between w:val="nil"/>
        </w:pBdr>
        <w:jc w:val="center"/>
        <w:rPr>
          <w:rFonts w:ascii="Montserrat" w:hAnsi="Montserrat"/>
          <w:b/>
          <w:color w:val="000000"/>
          <w:sz w:val="22"/>
          <w:szCs w:val="22"/>
        </w:rPr>
      </w:pPr>
      <w:r w:rsidRPr="00192892">
        <w:rPr>
          <w:rFonts w:ascii="Montserrat" w:hAnsi="Montserrat"/>
          <w:b/>
          <w:color w:val="000000"/>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013"/>
        <w:gridCol w:w="1985"/>
        <w:gridCol w:w="1843"/>
      </w:tblGrid>
      <w:tr w:rsidR="00926C5C" w:rsidRPr="00192892" w14:paraId="269C07F5" w14:textId="77777777" w:rsidTr="00807455">
        <w:trPr>
          <w:trHeight w:val="330"/>
        </w:trPr>
        <w:tc>
          <w:tcPr>
            <w:tcW w:w="5013"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13C563F" w14:textId="77777777" w:rsidR="00926C5C" w:rsidRPr="00192892" w:rsidRDefault="00926C5C" w:rsidP="00FA0078">
            <w:pPr>
              <w:jc w:val="center"/>
              <w:rPr>
                <w:rFonts w:ascii="Montserrat" w:eastAsia="Times New Roman" w:hAnsi="Montserrat" w:cs="Times New Roman"/>
                <w:b/>
                <w:bCs/>
                <w:color w:val="000000"/>
                <w:sz w:val="22"/>
                <w:szCs w:val="22"/>
                <w:lang w:val="es-MX"/>
              </w:rPr>
            </w:pPr>
            <w:bookmarkStart w:id="5" w:name="_Hlk157387559"/>
            <w:r w:rsidRPr="00192892">
              <w:rPr>
                <w:rFonts w:ascii="Montserrat" w:eastAsia="Times New Roman" w:hAnsi="Montserrat" w:cs="Times New Roman"/>
                <w:b/>
                <w:bCs/>
                <w:color w:val="000000"/>
                <w:sz w:val="22"/>
                <w:szCs w:val="22"/>
                <w:lang w:val="es-MX"/>
              </w:rPr>
              <w:t>Concepto</w:t>
            </w:r>
          </w:p>
        </w:tc>
        <w:tc>
          <w:tcPr>
            <w:tcW w:w="1985" w:type="dxa"/>
            <w:tcBorders>
              <w:top w:val="single" w:sz="8" w:space="0" w:color="auto"/>
              <w:left w:val="nil"/>
              <w:bottom w:val="single" w:sz="8" w:space="0" w:color="auto"/>
              <w:right w:val="single" w:sz="8" w:space="0" w:color="auto"/>
            </w:tcBorders>
            <w:shd w:val="clear" w:color="000000" w:fill="BFBFBF"/>
            <w:noWrap/>
            <w:vAlign w:val="center"/>
            <w:hideMark/>
          </w:tcPr>
          <w:p w14:paraId="12C5A20E" w14:textId="77777777" w:rsidR="00926C5C" w:rsidRPr="00192892" w:rsidRDefault="00926C5C" w:rsidP="00FA0078">
            <w:pPr>
              <w:jc w:val="center"/>
              <w:rPr>
                <w:rFonts w:ascii="Montserrat" w:eastAsia="Times New Roman" w:hAnsi="Montserrat" w:cs="Times New Roman"/>
                <w:b/>
                <w:bCs/>
                <w:color w:val="000000"/>
                <w:sz w:val="22"/>
                <w:szCs w:val="22"/>
                <w:lang w:val="es-MX"/>
              </w:rPr>
            </w:pPr>
            <w:r w:rsidRPr="00192892">
              <w:rPr>
                <w:rFonts w:ascii="Montserrat" w:eastAsia="Times New Roman" w:hAnsi="Montserrat" w:cs="Times New Roman"/>
                <w:b/>
                <w:bCs/>
                <w:color w:val="000000"/>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BFBFBF"/>
            <w:noWrap/>
            <w:vAlign w:val="center"/>
            <w:hideMark/>
          </w:tcPr>
          <w:p w14:paraId="42E6AD88" w14:textId="77777777" w:rsidR="00926C5C" w:rsidRPr="00192892" w:rsidRDefault="00926C5C" w:rsidP="00FA0078">
            <w:pPr>
              <w:jc w:val="center"/>
              <w:rPr>
                <w:rFonts w:ascii="Montserrat" w:eastAsia="Times New Roman" w:hAnsi="Montserrat" w:cs="Times New Roman"/>
                <w:b/>
                <w:bCs/>
                <w:color w:val="000000"/>
                <w:sz w:val="22"/>
                <w:szCs w:val="22"/>
                <w:lang w:val="es-MX"/>
              </w:rPr>
            </w:pPr>
            <w:r w:rsidRPr="00192892">
              <w:rPr>
                <w:rFonts w:ascii="Montserrat" w:eastAsia="Times New Roman" w:hAnsi="Montserrat" w:cs="Times New Roman"/>
                <w:b/>
                <w:bCs/>
                <w:color w:val="000000"/>
                <w:sz w:val="22"/>
                <w:szCs w:val="22"/>
                <w:lang w:val="es-MX"/>
              </w:rPr>
              <w:t>2023</w:t>
            </w:r>
          </w:p>
        </w:tc>
      </w:tr>
      <w:tr w:rsidR="00926C5C" w:rsidRPr="00192892" w14:paraId="423C369E" w14:textId="77777777" w:rsidTr="00807455">
        <w:trPr>
          <w:trHeight w:val="330"/>
        </w:trPr>
        <w:tc>
          <w:tcPr>
            <w:tcW w:w="5013" w:type="dxa"/>
            <w:tcBorders>
              <w:top w:val="nil"/>
              <w:left w:val="single" w:sz="8" w:space="0" w:color="auto"/>
              <w:bottom w:val="single" w:sz="8" w:space="0" w:color="auto"/>
              <w:right w:val="single" w:sz="8" w:space="0" w:color="auto"/>
            </w:tcBorders>
            <w:shd w:val="clear" w:color="auto" w:fill="auto"/>
            <w:vAlign w:val="center"/>
            <w:hideMark/>
          </w:tcPr>
          <w:p w14:paraId="4AEA1BC5"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Impuestos</w:t>
            </w:r>
          </w:p>
        </w:tc>
        <w:tc>
          <w:tcPr>
            <w:tcW w:w="1985" w:type="dxa"/>
            <w:tcBorders>
              <w:top w:val="nil"/>
              <w:left w:val="nil"/>
              <w:bottom w:val="single" w:sz="8" w:space="0" w:color="auto"/>
              <w:right w:val="single" w:sz="8" w:space="0" w:color="auto"/>
            </w:tcBorders>
            <w:shd w:val="clear" w:color="auto" w:fill="auto"/>
            <w:vAlign w:val="center"/>
            <w:hideMark/>
          </w:tcPr>
          <w:p w14:paraId="12381F46"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1,752,301,790</w:t>
            </w:r>
          </w:p>
        </w:tc>
        <w:tc>
          <w:tcPr>
            <w:tcW w:w="1843" w:type="dxa"/>
            <w:tcBorders>
              <w:top w:val="nil"/>
              <w:left w:val="nil"/>
              <w:bottom w:val="single" w:sz="8" w:space="0" w:color="auto"/>
              <w:right w:val="single" w:sz="8" w:space="0" w:color="auto"/>
            </w:tcBorders>
            <w:shd w:val="clear" w:color="auto" w:fill="auto"/>
            <w:vAlign w:val="center"/>
            <w:hideMark/>
          </w:tcPr>
          <w:p w14:paraId="0E147795"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1,492,191,085</w:t>
            </w:r>
          </w:p>
        </w:tc>
      </w:tr>
      <w:tr w:rsidR="00926C5C" w:rsidRPr="00192892" w14:paraId="76AC7133" w14:textId="77777777" w:rsidTr="00807455">
        <w:trPr>
          <w:trHeight w:val="330"/>
        </w:trPr>
        <w:tc>
          <w:tcPr>
            <w:tcW w:w="5013" w:type="dxa"/>
            <w:tcBorders>
              <w:top w:val="nil"/>
              <w:left w:val="single" w:sz="8" w:space="0" w:color="auto"/>
              <w:bottom w:val="single" w:sz="8" w:space="0" w:color="auto"/>
              <w:right w:val="single" w:sz="8" w:space="0" w:color="auto"/>
            </w:tcBorders>
            <w:shd w:val="clear" w:color="auto" w:fill="auto"/>
            <w:vAlign w:val="center"/>
            <w:hideMark/>
          </w:tcPr>
          <w:p w14:paraId="1B081AAD"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Derechos</w:t>
            </w:r>
          </w:p>
        </w:tc>
        <w:tc>
          <w:tcPr>
            <w:tcW w:w="1985" w:type="dxa"/>
            <w:tcBorders>
              <w:top w:val="nil"/>
              <w:left w:val="nil"/>
              <w:bottom w:val="single" w:sz="8" w:space="0" w:color="auto"/>
              <w:right w:val="single" w:sz="8" w:space="0" w:color="auto"/>
            </w:tcBorders>
            <w:shd w:val="clear" w:color="auto" w:fill="auto"/>
            <w:vAlign w:val="center"/>
            <w:hideMark/>
          </w:tcPr>
          <w:p w14:paraId="20F41912"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2,213,193,469</w:t>
            </w:r>
          </w:p>
        </w:tc>
        <w:tc>
          <w:tcPr>
            <w:tcW w:w="1843" w:type="dxa"/>
            <w:tcBorders>
              <w:top w:val="nil"/>
              <w:left w:val="nil"/>
              <w:bottom w:val="single" w:sz="8" w:space="0" w:color="auto"/>
              <w:right w:val="single" w:sz="8" w:space="0" w:color="auto"/>
            </w:tcBorders>
            <w:shd w:val="clear" w:color="auto" w:fill="auto"/>
            <w:vAlign w:val="center"/>
            <w:hideMark/>
          </w:tcPr>
          <w:p w14:paraId="4F72802F"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1,654,359,439</w:t>
            </w:r>
          </w:p>
        </w:tc>
      </w:tr>
      <w:tr w:rsidR="00926C5C" w:rsidRPr="00192892" w14:paraId="7D83A408" w14:textId="77777777" w:rsidTr="00807455">
        <w:trPr>
          <w:trHeight w:val="330"/>
        </w:trPr>
        <w:tc>
          <w:tcPr>
            <w:tcW w:w="5013" w:type="dxa"/>
            <w:tcBorders>
              <w:top w:val="nil"/>
              <w:left w:val="single" w:sz="8" w:space="0" w:color="auto"/>
              <w:bottom w:val="single" w:sz="8" w:space="0" w:color="auto"/>
              <w:right w:val="single" w:sz="8" w:space="0" w:color="auto"/>
            </w:tcBorders>
            <w:shd w:val="clear" w:color="auto" w:fill="auto"/>
            <w:vAlign w:val="center"/>
            <w:hideMark/>
          </w:tcPr>
          <w:p w14:paraId="507FA178"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Productos</w:t>
            </w:r>
          </w:p>
        </w:tc>
        <w:tc>
          <w:tcPr>
            <w:tcW w:w="1985" w:type="dxa"/>
            <w:tcBorders>
              <w:top w:val="nil"/>
              <w:left w:val="nil"/>
              <w:bottom w:val="single" w:sz="8" w:space="0" w:color="auto"/>
              <w:right w:val="single" w:sz="8" w:space="0" w:color="auto"/>
            </w:tcBorders>
            <w:shd w:val="clear" w:color="auto" w:fill="auto"/>
            <w:vAlign w:val="center"/>
            <w:hideMark/>
          </w:tcPr>
          <w:p w14:paraId="4B6260D2"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755,677,051</w:t>
            </w:r>
          </w:p>
        </w:tc>
        <w:tc>
          <w:tcPr>
            <w:tcW w:w="1843" w:type="dxa"/>
            <w:tcBorders>
              <w:top w:val="nil"/>
              <w:left w:val="nil"/>
              <w:bottom w:val="single" w:sz="8" w:space="0" w:color="auto"/>
              <w:right w:val="single" w:sz="8" w:space="0" w:color="auto"/>
            </w:tcBorders>
            <w:shd w:val="clear" w:color="auto" w:fill="auto"/>
            <w:vAlign w:val="center"/>
            <w:hideMark/>
          </w:tcPr>
          <w:p w14:paraId="1829252B"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413,459,593</w:t>
            </w:r>
          </w:p>
        </w:tc>
      </w:tr>
      <w:tr w:rsidR="00926C5C" w:rsidRPr="00192892" w14:paraId="02A262BF" w14:textId="77777777" w:rsidTr="00807455">
        <w:trPr>
          <w:trHeight w:val="330"/>
        </w:trPr>
        <w:tc>
          <w:tcPr>
            <w:tcW w:w="5013" w:type="dxa"/>
            <w:tcBorders>
              <w:top w:val="nil"/>
              <w:left w:val="single" w:sz="8" w:space="0" w:color="auto"/>
              <w:bottom w:val="single" w:sz="8" w:space="0" w:color="auto"/>
              <w:right w:val="single" w:sz="8" w:space="0" w:color="auto"/>
            </w:tcBorders>
            <w:shd w:val="clear" w:color="auto" w:fill="auto"/>
            <w:vAlign w:val="center"/>
            <w:hideMark/>
          </w:tcPr>
          <w:p w14:paraId="3E38B6B3"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Aprovechamientos</w:t>
            </w:r>
          </w:p>
        </w:tc>
        <w:tc>
          <w:tcPr>
            <w:tcW w:w="1985" w:type="dxa"/>
            <w:tcBorders>
              <w:top w:val="nil"/>
              <w:left w:val="nil"/>
              <w:bottom w:val="single" w:sz="8" w:space="0" w:color="auto"/>
              <w:right w:val="single" w:sz="8" w:space="0" w:color="auto"/>
            </w:tcBorders>
            <w:shd w:val="clear" w:color="auto" w:fill="auto"/>
            <w:vAlign w:val="center"/>
            <w:hideMark/>
          </w:tcPr>
          <w:p w14:paraId="20C5CB2B"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509,331,212</w:t>
            </w:r>
          </w:p>
        </w:tc>
        <w:tc>
          <w:tcPr>
            <w:tcW w:w="1843" w:type="dxa"/>
            <w:tcBorders>
              <w:top w:val="nil"/>
              <w:left w:val="nil"/>
              <w:bottom w:val="single" w:sz="8" w:space="0" w:color="auto"/>
              <w:right w:val="single" w:sz="8" w:space="0" w:color="auto"/>
            </w:tcBorders>
            <w:shd w:val="clear" w:color="auto" w:fill="auto"/>
            <w:vAlign w:val="center"/>
            <w:hideMark/>
          </w:tcPr>
          <w:p w14:paraId="5F0FF7CD"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242,222,129</w:t>
            </w:r>
          </w:p>
        </w:tc>
      </w:tr>
      <w:tr w:rsidR="00926C5C" w:rsidRPr="00192892" w14:paraId="5113B0D7" w14:textId="77777777" w:rsidTr="00807455">
        <w:trPr>
          <w:trHeight w:val="960"/>
        </w:trPr>
        <w:tc>
          <w:tcPr>
            <w:tcW w:w="5013" w:type="dxa"/>
            <w:tcBorders>
              <w:top w:val="nil"/>
              <w:left w:val="single" w:sz="8" w:space="0" w:color="auto"/>
              <w:bottom w:val="single" w:sz="8" w:space="0" w:color="auto"/>
              <w:right w:val="single" w:sz="8" w:space="0" w:color="auto"/>
            </w:tcBorders>
            <w:shd w:val="clear" w:color="auto" w:fill="auto"/>
            <w:vAlign w:val="center"/>
            <w:hideMark/>
          </w:tcPr>
          <w:p w14:paraId="2AB2E2C0"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Participaciones, Aportaciones, Convenios, Incentivos Derivados de la Colaboración Fiscal y Fondos Distintos de Aportaciones</w:t>
            </w:r>
          </w:p>
        </w:tc>
        <w:tc>
          <w:tcPr>
            <w:tcW w:w="1985" w:type="dxa"/>
            <w:tcBorders>
              <w:top w:val="nil"/>
              <w:left w:val="nil"/>
              <w:bottom w:val="single" w:sz="8" w:space="0" w:color="auto"/>
              <w:right w:val="single" w:sz="8" w:space="0" w:color="auto"/>
            </w:tcBorders>
            <w:shd w:val="clear" w:color="auto" w:fill="auto"/>
            <w:vAlign w:val="center"/>
            <w:hideMark/>
          </w:tcPr>
          <w:p w14:paraId="2BB19D6B"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74,982,494,133</w:t>
            </w:r>
          </w:p>
        </w:tc>
        <w:tc>
          <w:tcPr>
            <w:tcW w:w="1843" w:type="dxa"/>
            <w:tcBorders>
              <w:top w:val="nil"/>
              <w:left w:val="nil"/>
              <w:bottom w:val="single" w:sz="8" w:space="0" w:color="auto"/>
              <w:right w:val="single" w:sz="8" w:space="0" w:color="auto"/>
            </w:tcBorders>
            <w:shd w:val="clear" w:color="auto" w:fill="auto"/>
            <w:vAlign w:val="center"/>
            <w:hideMark/>
          </w:tcPr>
          <w:p w14:paraId="57F0EF28"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66,820,667,941</w:t>
            </w:r>
          </w:p>
        </w:tc>
      </w:tr>
      <w:tr w:rsidR="00926C5C" w:rsidRPr="00192892" w14:paraId="229999F0" w14:textId="77777777" w:rsidTr="00807455">
        <w:trPr>
          <w:trHeight w:val="645"/>
        </w:trPr>
        <w:tc>
          <w:tcPr>
            <w:tcW w:w="5013" w:type="dxa"/>
            <w:tcBorders>
              <w:top w:val="nil"/>
              <w:left w:val="single" w:sz="8" w:space="0" w:color="auto"/>
              <w:bottom w:val="single" w:sz="8" w:space="0" w:color="auto"/>
              <w:right w:val="single" w:sz="8" w:space="0" w:color="auto"/>
            </w:tcBorders>
            <w:shd w:val="clear" w:color="auto" w:fill="auto"/>
            <w:vAlign w:val="center"/>
            <w:hideMark/>
          </w:tcPr>
          <w:p w14:paraId="7B7403BD"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Transferencias, Asignaciones, Subsidios y Subvenciones, y Pensiones y Jubilaciones</w:t>
            </w:r>
          </w:p>
        </w:tc>
        <w:tc>
          <w:tcPr>
            <w:tcW w:w="1985" w:type="dxa"/>
            <w:tcBorders>
              <w:top w:val="nil"/>
              <w:left w:val="nil"/>
              <w:bottom w:val="single" w:sz="8" w:space="0" w:color="auto"/>
              <w:right w:val="single" w:sz="8" w:space="0" w:color="auto"/>
            </w:tcBorders>
            <w:shd w:val="clear" w:color="auto" w:fill="auto"/>
            <w:vAlign w:val="center"/>
            <w:hideMark/>
          </w:tcPr>
          <w:p w14:paraId="2CC06F7C"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-43,290,644,402</w:t>
            </w:r>
          </w:p>
        </w:tc>
        <w:tc>
          <w:tcPr>
            <w:tcW w:w="1843" w:type="dxa"/>
            <w:tcBorders>
              <w:top w:val="nil"/>
              <w:left w:val="nil"/>
              <w:bottom w:val="single" w:sz="8" w:space="0" w:color="auto"/>
              <w:right w:val="single" w:sz="8" w:space="0" w:color="auto"/>
            </w:tcBorders>
            <w:shd w:val="clear" w:color="auto" w:fill="auto"/>
            <w:vAlign w:val="center"/>
            <w:hideMark/>
          </w:tcPr>
          <w:p w14:paraId="6D81AB68"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-36,197,903,189</w:t>
            </w:r>
          </w:p>
        </w:tc>
      </w:tr>
      <w:tr w:rsidR="00926C5C" w:rsidRPr="00192892" w14:paraId="22F12073" w14:textId="77777777" w:rsidTr="00807455">
        <w:trPr>
          <w:trHeight w:val="330"/>
        </w:trPr>
        <w:tc>
          <w:tcPr>
            <w:tcW w:w="5013" w:type="dxa"/>
            <w:tcBorders>
              <w:top w:val="nil"/>
              <w:left w:val="single" w:sz="8" w:space="0" w:color="auto"/>
              <w:bottom w:val="single" w:sz="8" w:space="0" w:color="auto"/>
              <w:right w:val="single" w:sz="8" w:space="0" w:color="auto"/>
            </w:tcBorders>
            <w:shd w:val="clear" w:color="auto" w:fill="auto"/>
            <w:vAlign w:val="center"/>
            <w:hideMark/>
          </w:tcPr>
          <w:p w14:paraId="79B3480D"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Ingresos Financieros</w:t>
            </w:r>
          </w:p>
        </w:tc>
        <w:tc>
          <w:tcPr>
            <w:tcW w:w="1985" w:type="dxa"/>
            <w:tcBorders>
              <w:top w:val="nil"/>
              <w:left w:val="nil"/>
              <w:bottom w:val="single" w:sz="8" w:space="0" w:color="auto"/>
              <w:right w:val="single" w:sz="8" w:space="0" w:color="auto"/>
            </w:tcBorders>
            <w:shd w:val="clear" w:color="auto" w:fill="auto"/>
            <w:vAlign w:val="center"/>
            <w:hideMark/>
          </w:tcPr>
          <w:p w14:paraId="6DE01FF1"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98,309,801</w:t>
            </w:r>
          </w:p>
        </w:tc>
        <w:tc>
          <w:tcPr>
            <w:tcW w:w="1843" w:type="dxa"/>
            <w:tcBorders>
              <w:top w:val="nil"/>
              <w:left w:val="nil"/>
              <w:bottom w:val="single" w:sz="8" w:space="0" w:color="auto"/>
              <w:right w:val="single" w:sz="8" w:space="0" w:color="auto"/>
            </w:tcBorders>
            <w:shd w:val="clear" w:color="auto" w:fill="auto"/>
            <w:vAlign w:val="center"/>
            <w:hideMark/>
          </w:tcPr>
          <w:p w14:paraId="4A365F41"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114,232,327</w:t>
            </w:r>
          </w:p>
        </w:tc>
      </w:tr>
      <w:tr w:rsidR="00926C5C" w:rsidRPr="00192892" w14:paraId="2392E0EC" w14:textId="77777777" w:rsidTr="00807455">
        <w:trPr>
          <w:trHeight w:val="330"/>
        </w:trPr>
        <w:tc>
          <w:tcPr>
            <w:tcW w:w="5013" w:type="dxa"/>
            <w:tcBorders>
              <w:top w:val="nil"/>
              <w:left w:val="single" w:sz="8" w:space="0" w:color="auto"/>
              <w:bottom w:val="single" w:sz="8" w:space="0" w:color="auto"/>
              <w:right w:val="single" w:sz="8" w:space="0" w:color="auto"/>
            </w:tcBorders>
            <w:shd w:val="clear" w:color="auto" w:fill="auto"/>
            <w:vAlign w:val="center"/>
            <w:hideMark/>
          </w:tcPr>
          <w:p w14:paraId="17769B78"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Total de Ingresos y Otros Beneficios</w:t>
            </w:r>
          </w:p>
        </w:tc>
        <w:tc>
          <w:tcPr>
            <w:tcW w:w="1985" w:type="dxa"/>
            <w:tcBorders>
              <w:top w:val="nil"/>
              <w:left w:val="nil"/>
              <w:bottom w:val="single" w:sz="8" w:space="0" w:color="auto"/>
              <w:right w:val="single" w:sz="8" w:space="0" w:color="auto"/>
            </w:tcBorders>
            <w:shd w:val="clear" w:color="auto" w:fill="auto"/>
            <w:vAlign w:val="center"/>
            <w:hideMark/>
          </w:tcPr>
          <w:p w14:paraId="3C370D35"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37,020,663,054</w:t>
            </w:r>
          </w:p>
        </w:tc>
        <w:tc>
          <w:tcPr>
            <w:tcW w:w="1843" w:type="dxa"/>
            <w:tcBorders>
              <w:top w:val="nil"/>
              <w:left w:val="nil"/>
              <w:bottom w:val="single" w:sz="8" w:space="0" w:color="auto"/>
              <w:right w:val="single" w:sz="8" w:space="0" w:color="auto"/>
            </w:tcBorders>
            <w:shd w:val="clear" w:color="auto" w:fill="auto"/>
            <w:vAlign w:val="center"/>
            <w:hideMark/>
          </w:tcPr>
          <w:p w14:paraId="27027017"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34,539,229,325</w:t>
            </w:r>
          </w:p>
        </w:tc>
      </w:tr>
    </w:tbl>
    <w:p w14:paraId="54CB8AE9" w14:textId="77777777" w:rsidR="00926C5C" w:rsidRPr="00192892" w:rsidRDefault="00926C5C" w:rsidP="00926C5C">
      <w:pPr>
        <w:rPr>
          <w:rFonts w:ascii="Montserrat" w:hAnsi="Montserrat"/>
          <w:b/>
          <w:color w:val="000000"/>
          <w:sz w:val="22"/>
          <w:szCs w:val="22"/>
        </w:rPr>
      </w:pPr>
    </w:p>
    <w:p w14:paraId="1F9CE9EF" w14:textId="77777777" w:rsidR="00926C5C" w:rsidRPr="00192892" w:rsidRDefault="00926C5C" w:rsidP="00926C5C">
      <w:pPr>
        <w:keepNext/>
        <w:rPr>
          <w:rFonts w:ascii="Montserrat" w:hAnsi="Montserrat" w:cs="Arial"/>
          <w:b/>
          <w:sz w:val="22"/>
          <w:szCs w:val="22"/>
          <w:lang w:val="es-MX"/>
        </w:rPr>
      </w:pPr>
      <w:r w:rsidRPr="00192892">
        <w:rPr>
          <w:rFonts w:ascii="Montserrat" w:hAnsi="Montserrat"/>
          <w:b/>
          <w:color w:val="000000"/>
          <w:sz w:val="22"/>
          <w:szCs w:val="22"/>
        </w:rPr>
        <w:t xml:space="preserve">Nota 2.- </w:t>
      </w:r>
      <w:r w:rsidRPr="00192892">
        <w:rPr>
          <w:rFonts w:ascii="Montserrat" w:hAnsi="Montserrat" w:cs="Arial"/>
          <w:b/>
          <w:sz w:val="22"/>
          <w:szCs w:val="22"/>
          <w:lang w:val="es-MX"/>
        </w:rPr>
        <w:t>Gastos y Otras Pérdidas:</w:t>
      </w:r>
    </w:p>
    <w:bookmarkEnd w:id="5"/>
    <w:p w14:paraId="61C72EC5" w14:textId="77777777" w:rsidR="00926C5C" w:rsidRPr="00192892" w:rsidRDefault="00926C5C" w:rsidP="00926C5C">
      <w:pPr>
        <w:spacing w:line="224" w:lineRule="exact"/>
        <w:jc w:val="both"/>
        <w:rPr>
          <w:rFonts w:ascii="Montserrat" w:hAnsi="Montserrat" w:cs="Arial"/>
          <w:b/>
          <w:sz w:val="22"/>
          <w:szCs w:val="22"/>
          <w:lang w:val="es-MX"/>
        </w:rPr>
      </w:pPr>
    </w:p>
    <w:p w14:paraId="315A1734" w14:textId="77777777" w:rsidR="00926C5C" w:rsidRPr="00192892" w:rsidRDefault="00926C5C" w:rsidP="00926C5C">
      <w:pPr>
        <w:pBdr>
          <w:top w:val="nil"/>
          <w:left w:val="nil"/>
          <w:bottom w:val="nil"/>
          <w:right w:val="nil"/>
          <w:between w:val="nil"/>
        </w:pBdr>
        <w:jc w:val="center"/>
        <w:rPr>
          <w:rFonts w:ascii="Montserrat" w:hAnsi="Montserrat"/>
          <w:b/>
          <w:bCs/>
          <w:color w:val="000000"/>
          <w:sz w:val="22"/>
          <w:szCs w:val="22"/>
        </w:rPr>
      </w:pPr>
      <w:r w:rsidRPr="00192892">
        <w:rPr>
          <w:rFonts w:ascii="Montserrat" w:hAnsi="Montserrat"/>
          <w:b/>
          <w:bCs/>
          <w:color w:val="000000"/>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53"/>
        <w:gridCol w:w="1843"/>
      </w:tblGrid>
      <w:tr w:rsidR="00926C5C" w:rsidRPr="00192892" w14:paraId="6990D175" w14:textId="77777777" w:rsidTr="00B9559F">
        <w:trPr>
          <w:trHeight w:val="315"/>
          <w:tblHeader/>
        </w:trPr>
        <w:tc>
          <w:tcPr>
            <w:tcW w:w="5155"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8390559"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BFBFBF"/>
            <w:noWrap/>
            <w:vAlign w:val="center"/>
            <w:hideMark/>
          </w:tcPr>
          <w:p w14:paraId="6E8F10E7"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BFBFBF"/>
            <w:noWrap/>
            <w:vAlign w:val="center"/>
            <w:hideMark/>
          </w:tcPr>
          <w:p w14:paraId="01886B80"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33BA8EFE"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73C06C0A"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Servicios Personales</w:t>
            </w:r>
          </w:p>
        </w:tc>
        <w:tc>
          <w:tcPr>
            <w:tcW w:w="1843" w:type="dxa"/>
            <w:tcBorders>
              <w:top w:val="nil"/>
              <w:left w:val="nil"/>
              <w:bottom w:val="single" w:sz="8" w:space="0" w:color="auto"/>
              <w:right w:val="single" w:sz="8" w:space="0" w:color="auto"/>
            </w:tcBorders>
            <w:shd w:val="clear" w:color="auto" w:fill="auto"/>
            <w:vAlign w:val="center"/>
            <w:hideMark/>
          </w:tcPr>
          <w:p w14:paraId="37FDAE93"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5,672,685,148</w:t>
            </w:r>
          </w:p>
        </w:tc>
        <w:tc>
          <w:tcPr>
            <w:tcW w:w="1843" w:type="dxa"/>
            <w:tcBorders>
              <w:top w:val="nil"/>
              <w:left w:val="nil"/>
              <w:bottom w:val="single" w:sz="8" w:space="0" w:color="auto"/>
              <w:right w:val="single" w:sz="8" w:space="0" w:color="auto"/>
            </w:tcBorders>
            <w:shd w:val="clear" w:color="auto" w:fill="auto"/>
            <w:vAlign w:val="center"/>
            <w:hideMark/>
          </w:tcPr>
          <w:p w14:paraId="1A1F0975"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5,002,129,237</w:t>
            </w:r>
          </w:p>
        </w:tc>
      </w:tr>
      <w:tr w:rsidR="00926C5C" w:rsidRPr="00192892" w14:paraId="61D9EA9E"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170C76AD"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Materiales y Suministros</w:t>
            </w:r>
          </w:p>
        </w:tc>
        <w:tc>
          <w:tcPr>
            <w:tcW w:w="1843" w:type="dxa"/>
            <w:tcBorders>
              <w:top w:val="nil"/>
              <w:left w:val="nil"/>
              <w:bottom w:val="single" w:sz="8" w:space="0" w:color="auto"/>
              <w:right w:val="single" w:sz="8" w:space="0" w:color="auto"/>
            </w:tcBorders>
            <w:shd w:val="clear" w:color="auto" w:fill="auto"/>
            <w:vAlign w:val="center"/>
            <w:hideMark/>
          </w:tcPr>
          <w:p w14:paraId="54317A80"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562,914,448</w:t>
            </w:r>
          </w:p>
        </w:tc>
        <w:tc>
          <w:tcPr>
            <w:tcW w:w="1843" w:type="dxa"/>
            <w:tcBorders>
              <w:top w:val="nil"/>
              <w:left w:val="nil"/>
              <w:bottom w:val="single" w:sz="8" w:space="0" w:color="auto"/>
              <w:right w:val="single" w:sz="8" w:space="0" w:color="auto"/>
            </w:tcBorders>
            <w:shd w:val="clear" w:color="auto" w:fill="auto"/>
            <w:vAlign w:val="center"/>
            <w:hideMark/>
          </w:tcPr>
          <w:p w14:paraId="09356E6C"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563,949,154</w:t>
            </w:r>
          </w:p>
        </w:tc>
      </w:tr>
      <w:tr w:rsidR="00926C5C" w:rsidRPr="00192892" w14:paraId="5B48941C"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000A90E2"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Servicios Generales</w:t>
            </w:r>
          </w:p>
        </w:tc>
        <w:tc>
          <w:tcPr>
            <w:tcW w:w="1843" w:type="dxa"/>
            <w:tcBorders>
              <w:top w:val="nil"/>
              <w:left w:val="nil"/>
              <w:bottom w:val="single" w:sz="8" w:space="0" w:color="auto"/>
              <w:right w:val="single" w:sz="8" w:space="0" w:color="auto"/>
            </w:tcBorders>
            <w:shd w:val="clear" w:color="auto" w:fill="auto"/>
            <w:vAlign w:val="center"/>
            <w:hideMark/>
          </w:tcPr>
          <w:p w14:paraId="3064EDA4"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1,798,096,073</w:t>
            </w:r>
          </w:p>
        </w:tc>
        <w:tc>
          <w:tcPr>
            <w:tcW w:w="1843" w:type="dxa"/>
            <w:tcBorders>
              <w:top w:val="nil"/>
              <w:left w:val="nil"/>
              <w:bottom w:val="single" w:sz="8" w:space="0" w:color="auto"/>
              <w:right w:val="single" w:sz="8" w:space="0" w:color="auto"/>
            </w:tcBorders>
            <w:shd w:val="clear" w:color="auto" w:fill="auto"/>
            <w:vAlign w:val="center"/>
            <w:hideMark/>
          </w:tcPr>
          <w:p w14:paraId="2AFD879E"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1,710,224,309</w:t>
            </w:r>
          </w:p>
        </w:tc>
      </w:tr>
      <w:tr w:rsidR="00926C5C" w:rsidRPr="00192892" w14:paraId="1D3F45BA"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0A66DC9A"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Transferencias al Resto del Sector Público</w:t>
            </w:r>
          </w:p>
        </w:tc>
        <w:tc>
          <w:tcPr>
            <w:tcW w:w="1843" w:type="dxa"/>
            <w:tcBorders>
              <w:top w:val="nil"/>
              <w:left w:val="nil"/>
              <w:bottom w:val="single" w:sz="8" w:space="0" w:color="auto"/>
              <w:right w:val="single" w:sz="8" w:space="0" w:color="auto"/>
            </w:tcBorders>
            <w:shd w:val="clear" w:color="auto" w:fill="auto"/>
            <w:vAlign w:val="center"/>
            <w:hideMark/>
          </w:tcPr>
          <w:p w14:paraId="2729BF09"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107,735,668</w:t>
            </w:r>
          </w:p>
        </w:tc>
        <w:tc>
          <w:tcPr>
            <w:tcW w:w="1843" w:type="dxa"/>
            <w:tcBorders>
              <w:top w:val="nil"/>
              <w:left w:val="nil"/>
              <w:bottom w:val="single" w:sz="8" w:space="0" w:color="auto"/>
              <w:right w:val="single" w:sz="8" w:space="0" w:color="auto"/>
            </w:tcBorders>
            <w:shd w:val="clear" w:color="auto" w:fill="auto"/>
            <w:vAlign w:val="center"/>
            <w:hideMark/>
          </w:tcPr>
          <w:p w14:paraId="079293DD"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52,677,188</w:t>
            </w:r>
          </w:p>
        </w:tc>
      </w:tr>
      <w:tr w:rsidR="00926C5C" w:rsidRPr="00192892" w14:paraId="2D59A5BC"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1F62AC24"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Subsidios y Subvenciones</w:t>
            </w:r>
          </w:p>
        </w:tc>
        <w:tc>
          <w:tcPr>
            <w:tcW w:w="1843" w:type="dxa"/>
            <w:tcBorders>
              <w:top w:val="nil"/>
              <w:left w:val="nil"/>
              <w:bottom w:val="single" w:sz="8" w:space="0" w:color="auto"/>
              <w:right w:val="single" w:sz="8" w:space="0" w:color="auto"/>
            </w:tcBorders>
            <w:shd w:val="clear" w:color="auto" w:fill="auto"/>
            <w:vAlign w:val="center"/>
            <w:hideMark/>
          </w:tcPr>
          <w:p w14:paraId="2772A411"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47,535,775</w:t>
            </w:r>
          </w:p>
        </w:tc>
        <w:tc>
          <w:tcPr>
            <w:tcW w:w="1843" w:type="dxa"/>
            <w:tcBorders>
              <w:top w:val="nil"/>
              <w:left w:val="nil"/>
              <w:bottom w:val="single" w:sz="8" w:space="0" w:color="auto"/>
              <w:right w:val="single" w:sz="8" w:space="0" w:color="auto"/>
            </w:tcBorders>
            <w:shd w:val="clear" w:color="auto" w:fill="auto"/>
            <w:vAlign w:val="center"/>
            <w:hideMark/>
          </w:tcPr>
          <w:p w14:paraId="740CE27C"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43,349,950</w:t>
            </w:r>
          </w:p>
        </w:tc>
      </w:tr>
      <w:tr w:rsidR="00926C5C" w:rsidRPr="00192892" w14:paraId="7A444A28"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6337EC58"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lastRenderedPageBreak/>
              <w:t>Ayudas Sociales</w:t>
            </w:r>
          </w:p>
        </w:tc>
        <w:tc>
          <w:tcPr>
            <w:tcW w:w="1843" w:type="dxa"/>
            <w:tcBorders>
              <w:top w:val="nil"/>
              <w:left w:val="nil"/>
              <w:bottom w:val="single" w:sz="8" w:space="0" w:color="auto"/>
              <w:right w:val="single" w:sz="8" w:space="0" w:color="auto"/>
            </w:tcBorders>
            <w:shd w:val="clear" w:color="auto" w:fill="auto"/>
            <w:vAlign w:val="center"/>
            <w:hideMark/>
          </w:tcPr>
          <w:p w14:paraId="7372DE02"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340,318,946</w:t>
            </w:r>
          </w:p>
        </w:tc>
        <w:tc>
          <w:tcPr>
            <w:tcW w:w="1843" w:type="dxa"/>
            <w:tcBorders>
              <w:top w:val="nil"/>
              <w:left w:val="nil"/>
              <w:bottom w:val="single" w:sz="8" w:space="0" w:color="auto"/>
              <w:right w:val="single" w:sz="8" w:space="0" w:color="auto"/>
            </w:tcBorders>
            <w:shd w:val="clear" w:color="auto" w:fill="auto"/>
            <w:vAlign w:val="center"/>
            <w:hideMark/>
          </w:tcPr>
          <w:p w14:paraId="18BBDE1A"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186,960,175</w:t>
            </w:r>
          </w:p>
        </w:tc>
      </w:tr>
      <w:tr w:rsidR="00926C5C" w:rsidRPr="00192892" w14:paraId="3D1AD2B8"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28DDE202"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Pensiones y Jubilaciones</w:t>
            </w:r>
          </w:p>
        </w:tc>
        <w:tc>
          <w:tcPr>
            <w:tcW w:w="1843" w:type="dxa"/>
            <w:tcBorders>
              <w:top w:val="nil"/>
              <w:left w:val="nil"/>
              <w:bottom w:val="single" w:sz="8" w:space="0" w:color="auto"/>
              <w:right w:val="single" w:sz="8" w:space="0" w:color="auto"/>
            </w:tcBorders>
            <w:shd w:val="clear" w:color="auto" w:fill="auto"/>
            <w:vAlign w:val="center"/>
            <w:hideMark/>
          </w:tcPr>
          <w:p w14:paraId="63343BC5"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500,832,369</w:t>
            </w:r>
          </w:p>
        </w:tc>
        <w:tc>
          <w:tcPr>
            <w:tcW w:w="1843" w:type="dxa"/>
            <w:tcBorders>
              <w:top w:val="nil"/>
              <w:left w:val="nil"/>
              <w:bottom w:val="single" w:sz="8" w:space="0" w:color="auto"/>
              <w:right w:val="single" w:sz="8" w:space="0" w:color="auto"/>
            </w:tcBorders>
            <w:shd w:val="clear" w:color="auto" w:fill="auto"/>
            <w:vAlign w:val="center"/>
            <w:hideMark/>
          </w:tcPr>
          <w:p w14:paraId="65E5D49F"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418,060,197</w:t>
            </w:r>
          </w:p>
        </w:tc>
      </w:tr>
      <w:tr w:rsidR="00926C5C" w:rsidRPr="00192892" w14:paraId="22881CAC" w14:textId="77777777" w:rsidTr="00926C5C">
        <w:trPr>
          <w:trHeight w:val="645"/>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4912B974"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Transferencias a Fideicomisos, Mandatos y Contratos Análogos</w:t>
            </w:r>
          </w:p>
        </w:tc>
        <w:tc>
          <w:tcPr>
            <w:tcW w:w="1843" w:type="dxa"/>
            <w:tcBorders>
              <w:top w:val="nil"/>
              <w:left w:val="nil"/>
              <w:bottom w:val="single" w:sz="8" w:space="0" w:color="auto"/>
              <w:right w:val="single" w:sz="8" w:space="0" w:color="auto"/>
            </w:tcBorders>
            <w:shd w:val="clear" w:color="auto" w:fill="auto"/>
            <w:vAlign w:val="center"/>
            <w:hideMark/>
          </w:tcPr>
          <w:p w14:paraId="6E618475"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201,312,543</w:t>
            </w:r>
          </w:p>
        </w:tc>
        <w:tc>
          <w:tcPr>
            <w:tcW w:w="1843" w:type="dxa"/>
            <w:tcBorders>
              <w:top w:val="nil"/>
              <w:left w:val="nil"/>
              <w:bottom w:val="single" w:sz="8" w:space="0" w:color="auto"/>
              <w:right w:val="single" w:sz="8" w:space="0" w:color="auto"/>
            </w:tcBorders>
            <w:shd w:val="clear" w:color="auto" w:fill="auto"/>
            <w:vAlign w:val="center"/>
            <w:hideMark/>
          </w:tcPr>
          <w:p w14:paraId="2E237D3B"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119,632,426</w:t>
            </w:r>
          </w:p>
        </w:tc>
      </w:tr>
      <w:tr w:rsidR="00926C5C" w:rsidRPr="00192892" w14:paraId="63DED7A7"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5AC0BCF6"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Participaciones</w:t>
            </w:r>
          </w:p>
        </w:tc>
        <w:tc>
          <w:tcPr>
            <w:tcW w:w="1843" w:type="dxa"/>
            <w:tcBorders>
              <w:top w:val="nil"/>
              <w:left w:val="nil"/>
              <w:bottom w:val="single" w:sz="8" w:space="0" w:color="auto"/>
              <w:right w:val="single" w:sz="8" w:space="0" w:color="auto"/>
            </w:tcBorders>
            <w:shd w:val="clear" w:color="auto" w:fill="auto"/>
            <w:vAlign w:val="center"/>
            <w:hideMark/>
          </w:tcPr>
          <w:p w14:paraId="2F1E1856"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6,682,194,810</w:t>
            </w:r>
          </w:p>
        </w:tc>
        <w:tc>
          <w:tcPr>
            <w:tcW w:w="1843" w:type="dxa"/>
            <w:tcBorders>
              <w:top w:val="nil"/>
              <w:left w:val="nil"/>
              <w:bottom w:val="single" w:sz="8" w:space="0" w:color="auto"/>
              <w:right w:val="single" w:sz="8" w:space="0" w:color="auto"/>
            </w:tcBorders>
            <w:shd w:val="clear" w:color="auto" w:fill="auto"/>
            <w:vAlign w:val="center"/>
            <w:hideMark/>
          </w:tcPr>
          <w:p w14:paraId="30987575"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6,093,043,481</w:t>
            </w:r>
          </w:p>
        </w:tc>
      </w:tr>
      <w:tr w:rsidR="00926C5C" w:rsidRPr="00192892" w14:paraId="23C3F3ED"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77040CD0"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Aportaciones</w:t>
            </w:r>
          </w:p>
        </w:tc>
        <w:tc>
          <w:tcPr>
            <w:tcW w:w="1843" w:type="dxa"/>
            <w:tcBorders>
              <w:top w:val="nil"/>
              <w:left w:val="nil"/>
              <w:bottom w:val="single" w:sz="8" w:space="0" w:color="auto"/>
              <w:right w:val="single" w:sz="8" w:space="0" w:color="auto"/>
            </w:tcBorders>
            <w:shd w:val="clear" w:color="auto" w:fill="auto"/>
            <w:vAlign w:val="center"/>
            <w:hideMark/>
          </w:tcPr>
          <w:p w14:paraId="716C7E05"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11,223,731,851</w:t>
            </w:r>
          </w:p>
        </w:tc>
        <w:tc>
          <w:tcPr>
            <w:tcW w:w="1843" w:type="dxa"/>
            <w:tcBorders>
              <w:top w:val="nil"/>
              <w:left w:val="nil"/>
              <w:bottom w:val="single" w:sz="8" w:space="0" w:color="auto"/>
              <w:right w:val="single" w:sz="8" w:space="0" w:color="auto"/>
            </w:tcBorders>
            <w:shd w:val="clear" w:color="auto" w:fill="auto"/>
            <w:vAlign w:val="center"/>
            <w:hideMark/>
          </w:tcPr>
          <w:p w14:paraId="6A2B8CC3"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10,570,585,370</w:t>
            </w:r>
          </w:p>
        </w:tc>
      </w:tr>
      <w:tr w:rsidR="00926C5C" w:rsidRPr="00192892" w14:paraId="750D1094"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2F7191D5"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Convenios</w:t>
            </w:r>
          </w:p>
        </w:tc>
        <w:tc>
          <w:tcPr>
            <w:tcW w:w="1843" w:type="dxa"/>
            <w:tcBorders>
              <w:top w:val="nil"/>
              <w:left w:val="nil"/>
              <w:bottom w:val="single" w:sz="8" w:space="0" w:color="auto"/>
              <w:right w:val="single" w:sz="8" w:space="0" w:color="auto"/>
            </w:tcBorders>
            <w:shd w:val="clear" w:color="auto" w:fill="auto"/>
            <w:vAlign w:val="center"/>
            <w:hideMark/>
          </w:tcPr>
          <w:p w14:paraId="32F45DD7"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44,323,927</w:t>
            </w:r>
          </w:p>
        </w:tc>
        <w:tc>
          <w:tcPr>
            <w:tcW w:w="1843" w:type="dxa"/>
            <w:tcBorders>
              <w:top w:val="nil"/>
              <w:left w:val="nil"/>
              <w:bottom w:val="single" w:sz="8" w:space="0" w:color="auto"/>
              <w:right w:val="single" w:sz="8" w:space="0" w:color="auto"/>
            </w:tcBorders>
            <w:shd w:val="clear" w:color="auto" w:fill="auto"/>
            <w:vAlign w:val="center"/>
            <w:hideMark/>
          </w:tcPr>
          <w:p w14:paraId="63C0C331"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41,470,835</w:t>
            </w:r>
          </w:p>
        </w:tc>
      </w:tr>
      <w:tr w:rsidR="00926C5C" w:rsidRPr="00192892" w14:paraId="738B85B3"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1141FF8B"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Intereses de la Deuda Pública</w:t>
            </w:r>
          </w:p>
        </w:tc>
        <w:tc>
          <w:tcPr>
            <w:tcW w:w="1843" w:type="dxa"/>
            <w:tcBorders>
              <w:top w:val="nil"/>
              <w:left w:val="nil"/>
              <w:bottom w:val="single" w:sz="8" w:space="0" w:color="auto"/>
              <w:right w:val="single" w:sz="8" w:space="0" w:color="auto"/>
            </w:tcBorders>
            <w:shd w:val="clear" w:color="auto" w:fill="auto"/>
            <w:vAlign w:val="center"/>
            <w:hideMark/>
          </w:tcPr>
          <w:p w14:paraId="2BF5420D"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1,411,760,272</w:t>
            </w:r>
          </w:p>
        </w:tc>
        <w:tc>
          <w:tcPr>
            <w:tcW w:w="1843" w:type="dxa"/>
            <w:tcBorders>
              <w:top w:val="nil"/>
              <w:left w:val="nil"/>
              <w:bottom w:val="single" w:sz="8" w:space="0" w:color="auto"/>
              <w:right w:val="single" w:sz="8" w:space="0" w:color="auto"/>
            </w:tcBorders>
            <w:shd w:val="clear" w:color="auto" w:fill="auto"/>
            <w:vAlign w:val="center"/>
            <w:hideMark/>
          </w:tcPr>
          <w:p w14:paraId="7AF3BC4B"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1,433,621,229</w:t>
            </w:r>
          </w:p>
        </w:tc>
      </w:tr>
      <w:tr w:rsidR="00926C5C" w:rsidRPr="00192892" w14:paraId="6F95743A"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4A9518FD"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Gastos de la Deuda Pública</w:t>
            </w:r>
          </w:p>
        </w:tc>
        <w:tc>
          <w:tcPr>
            <w:tcW w:w="1843" w:type="dxa"/>
            <w:tcBorders>
              <w:top w:val="nil"/>
              <w:left w:val="nil"/>
              <w:bottom w:val="single" w:sz="8" w:space="0" w:color="auto"/>
              <w:right w:val="single" w:sz="8" w:space="0" w:color="auto"/>
            </w:tcBorders>
            <w:shd w:val="clear" w:color="auto" w:fill="auto"/>
            <w:vAlign w:val="center"/>
            <w:hideMark/>
          </w:tcPr>
          <w:p w14:paraId="54EC9094"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363,977,701</w:t>
            </w:r>
          </w:p>
        </w:tc>
        <w:tc>
          <w:tcPr>
            <w:tcW w:w="1843" w:type="dxa"/>
            <w:tcBorders>
              <w:top w:val="nil"/>
              <w:left w:val="nil"/>
              <w:bottom w:val="single" w:sz="8" w:space="0" w:color="auto"/>
              <w:right w:val="single" w:sz="8" w:space="0" w:color="auto"/>
            </w:tcBorders>
            <w:shd w:val="clear" w:color="auto" w:fill="auto"/>
            <w:vAlign w:val="center"/>
            <w:hideMark/>
          </w:tcPr>
          <w:p w14:paraId="12736279"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2,122,186</w:t>
            </w:r>
          </w:p>
        </w:tc>
      </w:tr>
      <w:tr w:rsidR="00926C5C" w:rsidRPr="00192892" w14:paraId="6B4C9CB7" w14:textId="77777777" w:rsidTr="00926C5C">
        <w:trPr>
          <w:trHeight w:val="645"/>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5398BEB8"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Estimaciones, Depreciaciones, Deterioros, Obsolescencia y Amortizaciones</w:t>
            </w:r>
          </w:p>
        </w:tc>
        <w:tc>
          <w:tcPr>
            <w:tcW w:w="1843" w:type="dxa"/>
            <w:tcBorders>
              <w:top w:val="nil"/>
              <w:left w:val="nil"/>
              <w:bottom w:val="single" w:sz="8" w:space="0" w:color="auto"/>
              <w:right w:val="single" w:sz="8" w:space="0" w:color="auto"/>
            </w:tcBorders>
            <w:shd w:val="clear" w:color="auto" w:fill="auto"/>
            <w:vAlign w:val="center"/>
            <w:hideMark/>
          </w:tcPr>
          <w:p w14:paraId="25D9772E"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228,642,027</w:t>
            </w:r>
          </w:p>
        </w:tc>
        <w:tc>
          <w:tcPr>
            <w:tcW w:w="1843" w:type="dxa"/>
            <w:tcBorders>
              <w:top w:val="nil"/>
              <w:left w:val="nil"/>
              <w:bottom w:val="single" w:sz="8" w:space="0" w:color="auto"/>
              <w:right w:val="single" w:sz="8" w:space="0" w:color="auto"/>
            </w:tcBorders>
            <w:shd w:val="clear" w:color="auto" w:fill="auto"/>
            <w:vAlign w:val="center"/>
            <w:hideMark/>
          </w:tcPr>
          <w:p w14:paraId="22BDED7D"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143,641,779</w:t>
            </w:r>
          </w:p>
        </w:tc>
      </w:tr>
      <w:tr w:rsidR="00926C5C" w:rsidRPr="00192892" w14:paraId="6D085479"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7524FD2E"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Inversión Pública no Capitalizable</w:t>
            </w:r>
          </w:p>
        </w:tc>
        <w:tc>
          <w:tcPr>
            <w:tcW w:w="1843" w:type="dxa"/>
            <w:tcBorders>
              <w:top w:val="nil"/>
              <w:left w:val="nil"/>
              <w:bottom w:val="single" w:sz="8" w:space="0" w:color="auto"/>
              <w:right w:val="single" w:sz="8" w:space="0" w:color="auto"/>
            </w:tcBorders>
            <w:shd w:val="clear" w:color="auto" w:fill="auto"/>
            <w:vAlign w:val="center"/>
            <w:hideMark/>
          </w:tcPr>
          <w:p w14:paraId="2711D2B6"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453,519,227</w:t>
            </w:r>
          </w:p>
        </w:tc>
        <w:tc>
          <w:tcPr>
            <w:tcW w:w="1843" w:type="dxa"/>
            <w:tcBorders>
              <w:top w:val="nil"/>
              <w:left w:val="nil"/>
              <w:bottom w:val="single" w:sz="8" w:space="0" w:color="auto"/>
              <w:right w:val="single" w:sz="8" w:space="0" w:color="auto"/>
            </w:tcBorders>
            <w:shd w:val="clear" w:color="auto" w:fill="auto"/>
            <w:vAlign w:val="center"/>
            <w:hideMark/>
          </w:tcPr>
          <w:p w14:paraId="71CD537A"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207,282,697</w:t>
            </w:r>
          </w:p>
        </w:tc>
      </w:tr>
      <w:tr w:rsidR="00926C5C" w:rsidRPr="00192892" w14:paraId="68E87B21" w14:textId="77777777" w:rsidTr="00926C5C">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739D882F" w14:textId="77777777" w:rsidR="00926C5C" w:rsidRPr="00E62671" w:rsidRDefault="00926C5C" w:rsidP="00FA0078">
            <w:pPr>
              <w:jc w:val="right"/>
              <w:rPr>
                <w:rFonts w:ascii="Montserrat" w:eastAsia="Times New Roman" w:hAnsi="Montserrat" w:cs="Times New Roman"/>
                <w:b/>
                <w:bCs/>
                <w:color w:val="000000"/>
                <w:sz w:val="22"/>
                <w:szCs w:val="22"/>
                <w:lang w:val="es-MX"/>
              </w:rPr>
            </w:pPr>
            <w:r w:rsidRPr="00E62671">
              <w:rPr>
                <w:rFonts w:ascii="Montserrat" w:eastAsia="Times New Roman" w:hAnsi="Montserrat" w:cs="Times New Roman"/>
                <w:b/>
                <w:bCs/>
                <w:color w:val="000000"/>
                <w:sz w:val="22"/>
                <w:szCs w:val="22"/>
                <w:lang w:val="es-MX"/>
              </w:rPr>
              <w:t>Total de Gastos y Otras Pérdidas</w:t>
            </w:r>
          </w:p>
        </w:tc>
        <w:tc>
          <w:tcPr>
            <w:tcW w:w="1843" w:type="dxa"/>
            <w:tcBorders>
              <w:top w:val="nil"/>
              <w:left w:val="nil"/>
              <w:bottom w:val="single" w:sz="8" w:space="0" w:color="auto"/>
              <w:right w:val="single" w:sz="8" w:space="0" w:color="auto"/>
            </w:tcBorders>
            <w:shd w:val="clear" w:color="auto" w:fill="auto"/>
            <w:vAlign w:val="center"/>
            <w:hideMark/>
          </w:tcPr>
          <w:p w14:paraId="7D7E785E" w14:textId="77777777" w:rsidR="00926C5C" w:rsidRPr="00E62671" w:rsidRDefault="00926C5C" w:rsidP="00FA0078">
            <w:pPr>
              <w:jc w:val="right"/>
              <w:rPr>
                <w:rFonts w:ascii="Montserrat" w:eastAsia="Times New Roman" w:hAnsi="Montserrat" w:cs="Times New Roman"/>
                <w:b/>
                <w:bCs/>
                <w:color w:val="000000"/>
                <w:sz w:val="22"/>
                <w:szCs w:val="22"/>
                <w:lang w:val="es-MX"/>
              </w:rPr>
            </w:pPr>
            <w:r w:rsidRPr="00E62671">
              <w:rPr>
                <w:rFonts w:ascii="Montserrat" w:eastAsia="Times New Roman" w:hAnsi="Montserrat" w:cs="Times New Roman"/>
                <w:b/>
                <w:bCs/>
                <w:color w:val="000000"/>
                <w:sz w:val="22"/>
                <w:szCs w:val="22"/>
                <w:lang w:val="es-MX"/>
              </w:rPr>
              <w:t>29,639,580,784</w:t>
            </w:r>
          </w:p>
        </w:tc>
        <w:tc>
          <w:tcPr>
            <w:tcW w:w="1843" w:type="dxa"/>
            <w:tcBorders>
              <w:top w:val="nil"/>
              <w:left w:val="nil"/>
              <w:bottom w:val="single" w:sz="8" w:space="0" w:color="auto"/>
              <w:right w:val="single" w:sz="8" w:space="0" w:color="auto"/>
            </w:tcBorders>
            <w:shd w:val="clear" w:color="auto" w:fill="auto"/>
            <w:vAlign w:val="center"/>
            <w:hideMark/>
          </w:tcPr>
          <w:p w14:paraId="77DCB3BE" w14:textId="77777777" w:rsidR="00926C5C" w:rsidRPr="00E62671" w:rsidRDefault="00926C5C" w:rsidP="00FA0078">
            <w:pPr>
              <w:jc w:val="right"/>
              <w:rPr>
                <w:rFonts w:ascii="Montserrat" w:eastAsia="Times New Roman" w:hAnsi="Montserrat" w:cs="Times New Roman"/>
                <w:b/>
                <w:bCs/>
                <w:color w:val="000000"/>
                <w:sz w:val="22"/>
                <w:szCs w:val="22"/>
                <w:lang w:val="es-MX"/>
              </w:rPr>
            </w:pPr>
            <w:r w:rsidRPr="00E62671">
              <w:rPr>
                <w:rFonts w:ascii="Montserrat" w:eastAsia="Times New Roman" w:hAnsi="Montserrat" w:cs="Times New Roman"/>
                <w:b/>
                <w:bCs/>
                <w:color w:val="000000"/>
                <w:sz w:val="22"/>
                <w:szCs w:val="22"/>
                <w:lang w:val="es-MX"/>
              </w:rPr>
              <w:t>26,588,750,213</w:t>
            </w:r>
          </w:p>
        </w:tc>
      </w:tr>
    </w:tbl>
    <w:p w14:paraId="39C88B9D" w14:textId="77777777" w:rsidR="00926C5C" w:rsidRPr="00192892" w:rsidRDefault="00926C5C" w:rsidP="00926C5C">
      <w:pPr>
        <w:rPr>
          <w:rFonts w:ascii="Montserrat" w:hAnsi="Montserrat"/>
          <w:b/>
          <w:bCs/>
          <w:color w:val="000000"/>
          <w:sz w:val="22"/>
          <w:szCs w:val="22"/>
        </w:rPr>
      </w:pPr>
    </w:p>
    <w:p w14:paraId="5DA0CBB8" w14:textId="77777777" w:rsidR="00926C5C" w:rsidRPr="00192892" w:rsidRDefault="00926C5C" w:rsidP="00926C5C">
      <w:pPr>
        <w:spacing w:line="224" w:lineRule="exact"/>
        <w:ind w:left="720"/>
        <w:jc w:val="both"/>
        <w:rPr>
          <w:rFonts w:ascii="Montserrat" w:hAnsi="Montserrat" w:cs="Arial"/>
          <w:b/>
          <w:sz w:val="22"/>
          <w:szCs w:val="22"/>
          <w:lang w:val="es-MX"/>
        </w:rPr>
      </w:pPr>
    </w:p>
    <w:p w14:paraId="7CB428D5" w14:textId="77777777" w:rsidR="00926C5C" w:rsidRPr="00192892" w:rsidRDefault="00926C5C" w:rsidP="00926C5C">
      <w:pPr>
        <w:spacing w:line="224" w:lineRule="exact"/>
        <w:jc w:val="both"/>
        <w:rPr>
          <w:rFonts w:ascii="Montserrat" w:hAnsi="Montserrat"/>
          <w:b/>
          <w:color w:val="000000"/>
          <w:sz w:val="22"/>
          <w:szCs w:val="22"/>
        </w:rPr>
      </w:pPr>
      <w:bookmarkStart w:id="6" w:name="_Hlk157387576"/>
      <w:r w:rsidRPr="00192892">
        <w:rPr>
          <w:rFonts w:ascii="Montserrat" w:hAnsi="Montserrat"/>
          <w:b/>
          <w:color w:val="000000"/>
          <w:sz w:val="22"/>
          <w:szCs w:val="22"/>
        </w:rPr>
        <w:t>Nota 3.- Resultados del Ejercicio (Ahorro / Desahorro):</w:t>
      </w:r>
      <w:bookmarkEnd w:id="6"/>
    </w:p>
    <w:p w14:paraId="268F6F2A" w14:textId="77777777" w:rsidR="00926C5C" w:rsidRPr="00192892" w:rsidRDefault="00926C5C" w:rsidP="00926C5C">
      <w:pPr>
        <w:widowControl w:val="0"/>
        <w:jc w:val="both"/>
        <w:rPr>
          <w:rFonts w:ascii="Montserrat" w:hAnsi="Montserrat"/>
          <w:sz w:val="22"/>
          <w:szCs w:val="22"/>
        </w:rPr>
      </w:pPr>
    </w:p>
    <w:p w14:paraId="67A8546E" w14:textId="77777777" w:rsidR="00926C5C" w:rsidRPr="00192892" w:rsidRDefault="00926C5C" w:rsidP="00926C5C">
      <w:pPr>
        <w:widowControl w:val="0"/>
        <w:jc w:val="center"/>
        <w:rPr>
          <w:rFonts w:ascii="Montserrat" w:hAnsi="Montserrat"/>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1DBFF678" w14:textId="77777777" w:rsidTr="00B9559F">
        <w:trPr>
          <w:trHeight w:val="315"/>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FBBE650"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267F698D"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0100FB93"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5E830A88" w14:textId="77777777" w:rsidTr="00B9559F">
        <w:trPr>
          <w:trHeight w:val="315"/>
        </w:trPr>
        <w:tc>
          <w:tcPr>
            <w:tcW w:w="5155" w:type="dxa"/>
            <w:tcBorders>
              <w:top w:val="nil"/>
              <w:left w:val="single" w:sz="8" w:space="0" w:color="auto"/>
              <w:bottom w:val="single" w:sz="8" w:space="0" w:color="auto"/>
              <w:right w:val="single" w:sz="8" w:space="0" w:color="auto"/>
            </w:tcBorders>
            <w:shd w:val="clear" w:color="000000" w:fill="FFFFFF"/>
            <w:vAlign w:val="center"/>
            <w:hideMark/>
          </w:tcPr>
          <w:p w14:paraId="685F18AF"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Resultados del Ejercicio (Ahorro / Desahorro)</w:t>
            </w:r>
          </w:p>
        </w:tc>
        <w:tc>
          <w:tcPr>
            <w:tcW w:w="1843" w:type="dxa"/>
            <w:tcBorders>
              <w:top w:val="nil"/>
              <w:left w:val="nil"/>
              <w:bottom w:val="single" w:sz="8" w:space="0" w:color="auto"/>
              <w:right w:val="single" w:sz="8" w:space="0" w:color="auto"/>
            </w:tcBorders>
            <w:shd w:val="clear" w:color="000000" w:fill="FFFFFF"/>
            <w:noWrap/>
            <w:vAlign w:val="center"/>
            <w:hideMark/>
          </w:tcPr>
          <w:p w14:paraId="2342D4AB"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7,381,082,271</w:t>
            </w:r>
          </w:p>
        </w:tc>
        <w:tc>
          <w:tcPr>
            <w:tcW w:w="1843" w:type="dxa"/>
            <w:tcBorders>
              <w:top w:val="nil"/>
              <w:left w:val="nil"/>
              <w:bottom w:val="single" w:sz="8" w:space="0" w:color="auto"/>
              <w:right w:val="single" w:sz="8" w:space="0" w:color="auto"/>
            </w:tcBorders>
            <w:shd w:val="clear" w:color="000000" w:fill="FFFFFF"/>
            <w:noWrap/>
            <w:vAlign w:val="center"/>
            <w:hideMark/>
          </w:tcPr>
          <w:p w14:paraId="55E5733F"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7,950,479,112</w:t>
            </w:r>
          </w:p>
        </w:tc>
      </w:tr>
      <w:tr w:rsidR="00926C5C" w:rsidRPr="00192892" w14:paraId="0D66DA21" w14:textId="77777777" w:rsidTr="00B9559F">
        <w:trPr>
          <w:trHeight w:val="315"/>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6437EAA8"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50321469"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7,381,082,271</w:t>
            </w:r>
          </w:p>
        </w:tc>
        <w:tc>
          <w:tcPr>
            <w:tcW w:w="1843" w:type="dxa"/>
            <w:tcBorders>
              <w:top w:val="nil"/>
              <w:left w:val="nil"/>
              <w:bottom w:val="single" w:sz="8" w:space="0" w:color="auto"/>
              <w:right w:val="single" w:sz="8" w:space="0" w:color="auto"/>
            </w:tcBorders>
            <w:shd w:val="clear" w:color="000000" w:fill="FFFFFF"/>
            <w:noWrap/>
            <w:vAlign w:val="center"/>
            <w:hideMark/>
          </w:tcPr>
          <w:p w14:paraId="2C45D0C5"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7,950,479,112</w:t>
            </w:r>
          </w:p>
        </w:tc>
      </w:tr>
    </w:tbl>
    <w:p w14:paraId="3DCADF2F" w14:textId="77777777" w:rsidR="00926C5C" w:rsidRPr="00192892" w:rsidRDefault="00926C5C" w:rsidP="00926C5C">
      <w:pPr>
        <w:widowControl w:val="0"/>
        <w:jc w:val="both"/>
        <w:rPr>
          <w:rFonts w:ascii="Montserrat" w:hAnsi="Montserrat"/>
          <w:b/>
          <w:sz w:val="22"/>
          <w:szCs w:val="22"/>
        </w:rPr>
      </w:pPr>
    </w:p>
    <w:p w14:paraId="151664E6" w14:textId="77777777" w:rsidR="00B9559F" w:rsidRPr="00192892" w:rsidRDefault="00B9559F" w:rsidP="00B9559F">
      <w:pPr>
        <w:rPr>
          <w:rFonts w:ascii="Montserrat" w:hAnsi="Montserrat"/>
          <w:b/>
          <w:bCs/>
          <w:sz w:val="22"/>
          <w:szCs w:val="22"/>
        </w:rPr>
      </w:pPr>
      <w:bookmarkStart w:id="7" w:name="_Hlk157388587"/>
    </w:p>
    <w:p w14:paraId="0241ADD0" w14:textId="749862E2" w:rsidR="00926C5C" w:rsidRPr="00192892" w:rsidRDefault="00926C5C" w:rsidP="00B9559F">
      <w:pPr>
        <w:rPr>
          <w:rFonts w:ascii="Montserrat" w:hAnsi="Montserrat"/>
          <w:b/>
          <w:bCs/>
          <w:sz w:val="22"/>
          <w:szCs w:val="22"/>
        </w:rPr>
      </w:pPr>
      <w:r w:rsidRPr="00192892">
        <w:rPr>
          <w:rFonts w:ascii="Montserrat" w:hAnsi="Montserrat"/>
          <w:b/>
          <w:bCs/>
          <w:sz w:val="22"/>
          <w:szCs w:val="22"/>
        </w:rPr>
        <w:t>NOTAS AL ESTADO DE SITUACIÓN FINANCIERA</w:t>
      </w:r>
    </w:p>
    <w:p w14:paraId="2CB5BEDC" w14:textId="77777777" w:rsidR="00926C5C" w:rsidRPr="00192892" w:rsidRDefault="00926C5C" w:rsidP="00926C5C">
      <w:pPr>
        <w:pStyle w:val="Texto"/>
        <w:spacing w:after="0" w:line="203" w:lineRule="exact"/>
        <w:ind w:firstLine="0"/>
        <w:rPr>
          <w:rFonts w:ascii="Montserrat" w:hAnsi="Montserrat"/>
          <w:b/>
          <w:sz w:val="22"/>
          <w:szCs w:val="22"/>
          <w:lang w:val="es-MX"/>
        </w:rPr>
      </w:pPr>
    </w:p>
    <w:p w14:paraId="5367BD8A" w14:textId="77777777" w:rsidR="00926C5C" w:rsidRPr="00192892" w:rsidRDefault="00926C5C" w:rsidP="00926C5C">
      <w:pPr>
        <w:pStyle w:val="Texto"/>
        <w:spacing w:after="0" w:line="203" w:lineRule="exact"/>
        <w:ind w:firstLine="0"/>
        <w:rPr>
          <w:rFonts w:ascii="Montserrat" w:hAnsi="Montserrat"/>
          <w:b/>
          <w:sz w:val="22"/>
          <w:szCs w:val="22"/>
          <w:lang w:val="es-MX"/>
        </w:rPr>
      </w:pPr>
    </w:p>
    <w:p w14:paraId="4DDF29C7" w14:textId="77777777" w:rsidR="00926C5C" w:rsidRPr="00192892" w:rsidRDefault="00926C5C" w:rsidP="00926C5C">
      <w:pPr>
        <w:pStyle w:val="Texto"/>
        <w:spacing w:after="0" w:line="203" w:lineRule="exact"/>
        <w:ind w:firstLine="0"/>
        <w:rPr>
          <w:rFonts w:ascii="Montserrat" w:hAnsi="Montserrat"/>
          <w:b/>
          <w:sz w:val="22"/>
          <w:szCs w:val="22"/>
          <w:lang w:val="es-MX"/>
        </w:rPr>
      </w:pPr>
      <w:r w:rsidRPr="00192892">
        <w:rPr>
          <w:rFonts w:ascii="Montserrat" w:hAnsi="Montserrat"/>
          <w:b/>
          <w:sz w:val="22"/>
          <w:szCs w:val="22"/>
          <w:lang w:val="es-MX"/>
        </w:rPr>
        <w:t>Activo</w:t>
      </w:r>
    </w:p>
    <w:p w14:paraId="05529E8C" w14:textId="77777777" w:rsidR="00926C5C" w:rsidRPr="00192892" w:rsidRDefault="00926C5C" w:rsidP="00926C5C">
      <w:pPr>
        <w:rPr>
          <w:rFonts w:ascii="Montserrat" w:hAnsi="Montserrat"/>
          <w:b/>
          <w:sz w:val="22"/>
          <w:szCs w:val="22"/>
        </w:rPr>
      </w:pPr>
    </w:p>
    <w:p w14:paraId="4D991FE0"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El activo se compone de los fondos, valores, derechos y bienes cuantificados en términos monetarios, los cuales controla y dispone el Poder Ejecutivo para la prestación de servicios públicos, este se integra como sigue:</w:t>
      </w:r>
    </w:p>
    <w:p w14:paraId="0668A500" w14:textId="77777777" w:rsidR="00926C5C" w:rsidRPr="00192892" w:rsidRDefault="00926C5C" w:rsidP="00926C5C">
      <w:pPr>
        <w:rPr>
          <w:rFonts w:ascii="Montserrat" w:hAnsi="Montserrat"/>
          <w:b/>
          <w:sz w:val="22"/>
          <w:szCs w:val="22"/>
        </w:rPr>
      </w:pPr>
    </w:p>
    <w:p w14:paraId="778EB58E"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4.- Efectivo y Equivalentes.</w:t>
      </w:r>
    </w:p>
    <w:bookmarkEnd w:id="7"/>
    <w:p w14:paraId="38D81082" w14:textId="77777777" w:rsidR="00926C5C" w:rsidRPr="00192892" w:rsidRDefault="00926C5C" w:rsidP="00926C5C">
      <w:pPr>
        <w:jc w:val="both"/>
        <w:rPr>
          <w:rFonts w:ascii="Montserrat" w:hAnsi="Montserrat"/>
          <w:b/>
          <w:sz w:val="22"/>
          <w:szCs w:val="22"/>
          <w:u w:val="single"/>
        </w:rPr>
      </w:pPr>
    </w:p>
    <w:p w14:paraId="53FE11E2"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 xml:space="preserve">Este rubro representa la disponibilidad que tiene el Poder Ejecutivo para realizar pagos a corto plazo a prestadores de bienes y servicios, y por retenciones de Impuestos a enterar a los Servicios de Administración Tributaria (SAT) de la </w:t>
      </w:r>
      <w:r w:rsidRPr="00192892">
        <w:rPr>
          <w:rFonts w:ascii="Montserrat" w:hAnsi="Montserrat"/>
          <w:sz w:val="22"/>
          <w:szCs w:val="22"/>
        </w:rPr>
        <w:lastRenderedPageBreak/>
        <w:t>Secretaría de Hacienda y Crédito Público por concepto de honorarios y sueldos y salarios.</w:t>
      </w:r>
    </w:p>
    <w:p w14:paraId="5500EFF4" w14:textId="77777777" w:rsidR="00926C5C" w:rsidRPr="00192892" w:rsidRDefault="00926C5C" w:rsidP="00926C5C">
      <w:pPr>
        <w:jc w:val="both"/>
        <w:rPr>
          <w:rFonts w:ascii="Montserrat" w:hAnsi="Montserrat"/>
          <w:sz w:val="22"/>
          <w:szCs w:val="22"/>
        </w:rPr>
      </w:pPr>
    </w:p>
    <w:p w14:paraId="20025037"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Esta disponibilidad al cierre del periodo enero-septiembre 2024, se encuentra integrada de la siguiente manera:</w:t>
      </w:r>
    </w:p>
    <w:p w14:paraId="15830A1E" w14:textId="77777777" w:rsidR="00926C5C" w:rsidRPr="00192892" w:rsidRDefault="00926C5C" w:rsidP="00926C5C">
      <w:pPr>
        <w:jc w:val="center"/>
        <w:rPr>
          <w:rFonts w:ascii="Montserrat" w:hAnsi="Montserrat"/>
          <w:b/>
          <w:sz w:val="22"/>
          <w:szCs w:val="22"/>
        </w:rPr>
      </w:pPr>
    </w:p>
    <w:p w14:paraId="5F27D9B1" w14:textId="77777777" w:rsidR="00926C5C" w:rsidRPr="00192892" w:rsidRDefault="00926C5C" w:rsidP="00926C5C">
      <w:pPr>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68E70C45" w14:textId="77777777" w:rsidTr="00B9559F">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6D74F5E"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5D0C8A7C"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45299FDF"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186C2773" w14:textId="77777777" w:rsidTr="00B9559F">
        <w:trPr>
          <w:trHeight w:val="300"/>
        </w:trPr>
        <w:tc>
          <w:tcPr>
            <w:tcW w:w="5155" w:type="dxa"/>
            <w:tcBorders>
              <w:top w:val="nil"/>
              <w:left w:val="single" w:sz="8" w:space="0" w:color="auto"/>
              <w:bottom w:val="nil"/>
              <w:right w:val="single" w:sz="8" w:space="0" w:color="auto"/>
            </w:tcBorders>
            <w:shd w:val="clear" w:color="000000" w:fill="FFFFFF"/>
            <w:vAlign w:val="center"/>
            <w:hideMark/>
          </w:tcPr>
          <w:p w14:paraId="02CEA03E"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Efectivo</w:t>
            </w:r>
          </w:p>
        </w:tc>
        <w:tc>
          <w:tcPr>
            <w:tcW w:w="1843" w:type="dxa"/>
            <w:tcBorders>
              <w:top w:val="nil"/>
              <w:left w:val="nil"/>
              <w:bottom w:val="nil"/>
              <w:right w:val="single" w:sz="8" w:space="0" w:color="auto"/>
            </w:tcBorders>
            <w:shd w:val="clear" w:color="000000" w:fill="FFFFFF"/>
            <w:vAlign w:val="center"/>
            <w:hideMark/>
          </w:tcPr>
          <w:p w14:paraId="4BE61096"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552,101</w:t>
            </w:r>
          </w:p>
        </w:tc>
        <w:tc>
          <w:tcPr>
            <w:tcW w:w="1843" w:type="dxa"/>
            <w:tcBorders>
              <w:top w:val="nil"/>
              <w:left w:val="nil"/>
              <w:bottom w:val="nil"/>
              <w:right w:val="single" w:sz="8" w:space="0" w:color="auto"/>
            </w:tcBorders>
            <w:shd w:val="clear" w:color="000000" w:fill="FFFFFF"/>
            <w:vAlign w:val="center"/>
            <w:hideMark/>
          </w:tcPr>
          <w:p w14:paraId="54172ED3"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914,601</w:t>
            </w:r>
          </w:p>
        </w:tc>
      </w:tr>
      <w:tr w:rsidR="00926C5C" w:rsidRPr="00192892" w14:paraId="070BE0E2" w14:textId="77777777" w:rsidTr="00B9559F">
        <w:trPr>
          <w:trHeight w:val="300"/>
        </w:trPr>
        <w:tc>
          <w:tcPr>
            <w:tcW w:w="5155" w:type="dxa"/>
            <w:tcBorders>
              <w:top w:val="nil"/>
              <w:left w:val="single" w:sz="8" w:space="0" w:color="auto"/>
              <w:bottom w:val="nil"/>
              <w:right w:val="single" w:sz="8" w:space="0" w:color="auto"/>
            </w:tcBorders>
            <w:shd w:val="clear" w:color="000000" w:fill="FFFFFF"/>
            <w:vAlign w:val="center"/>
            <w:hideMark/>
          </w:tcPr>
          <w:p w14:paraId="0832359B"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Bancos/Tesorería</w:t>
            </w:r>
          </w:p>
        </w:tc>
        <w:tc>
          <w:tcPr>
            <w:tcW w:w="1843" w:type="dxa"/>
            <w:tcBorders>
              <w:top w:val="nil"/>
              <w:left w:val="nil"/>
              <w:bottom w:val="nil"/>
              <w:right w:val="single" w:sz="8" w:space="0" w:color="auto"/>
            </w:tcBorders>
            <w:shd w:val="clear" w:color="000000" w:fill="FFFFFF"/>
            <w:vAlign w:val="center"/>
            <w:hideMark/>
          </w:tcPr>
          <w:p w14:paraId="093F3216"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3,439,611,180</w:t>
            </w:r>
          </w:p>
        </w:tc>
        <w:tc>
          <w:tcPr>
            <w:tcW w:w="1843" w:type="dxa"/>
            <w:tcBorders>
              <w:top w:val="nil"/>
              <w:left w:val="nil"/>
              <w:bottom w:val="nil"/>
              <w:right w:val="single" w:sz="8" w:space="0" w:color="auto"/>
            </w:tcBorders>
            <w:shd w:val="clear" w:color="000000" w:fill="FFFFFF"/>
            <w:vAlign w:val="center"/>
            <w:hideMark/>
          </w:tcPr>
          <w:p w14:paraId="5871210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2,399,887,944</w:t>
            </w:r>
          </w:p>
        </w:tc>
      </w:tr>
      <w:tr w:rsidR="00926C5C" w:rsidRPr="00192892" w14:paraId="0B02D08B" w14:textId="77777777" w:rsidTr="00B9559F">
        <w:trPr>
          <w:trHeight w:val="300"/>
        </w:trPr>
        <w:tc>
          <w:tcPr>
            <w:tcW w:w="5155" w:type="dxa"/>
            <w:tcBorders>
              <w:top w:val="nil"/>
              <w:left w:val="single" w:sz="8" w:space="0" w:color="auto"/>
              <w:bottom w:val="nil"/>
              <w:right w:val="single" w:sz="8" w:space="0" w:color="auto"/>
            </w:tcBorders>
            <w:shd w:val="clear" w:color="000000" w:fill="FFFFFF"/>
            <w:vAlign w:val="center"/>
            <w:hideMark/>
          </w:tcPr>
          <w:p w14:paraId="6DBEF672"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Bancos/Dependencias Y Otros</w:t>
            </w:r>
          </w:p>
        </w:tc>
        <w:tc>
          <w:tcPr>
            <w:tcW w:w="1843" w:type="dxa"/>
            <w:tcBorders>
              <w:top w:val="nil"/>
              <w:left w:val="nil"/>
              <w:bottom w:val="nil"/>
              <w:right w:val="single" w:sz="8" w:space="0" w:color="auto"/>
            </w:tcBorders>
            <w:shd w:val="clear" w:color="000000" w:fill="FFFFFF"/>
            <w:vAlign w:val="center"/>
            <w:hideMark/>
          </w:tcPr>
          <w:p w14:paraId="5201640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638,798,267</w:t>
            </w:r>
          </w:p>
        </w:tc>
        <w:tc>
          <w:tcPr>
            <w:tcW w:w="1843" w:type="dxa"/>
            <w:tcBorders>
              <w:top w:val="nil"/>
              <w:left w:val="nil"/>
              <w:bottom w:val="nil"/>
              <w:right w:val="single" w:sz="8" w:space="0" w:color="auto"/>
            </w:tcBorders>
            <w:shd w:val="clear" w:color="000000" w:fill="FFFFFF"/>
            <w:vAlign w:val="center"/>
            <w:hideMark/>
          </w:tcPr>
          <w:p w14:paraId="1A67610C"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439,725,917</w:t>
            </w:r>
          </w:p>
        </w:tc>
      </w:tr>
      <w:tr w:rsidR="00926C5C" w:rsidRPr="00192892" w14:paraId="1C87D575" w14:textId="77777777" w:rsidTr="00B9559F">
        <w:trPr>
          <w:trHeight w:val="436"/>
        </w:trPr>
        <w:tc>
          <w:tcPr>
            <w:tcW w:w="5155" w:type="dxa"/>
            <w:tcBorders>
              <w:top w:val="nil"/>
              <w:left w:val="single" w:sz="8" w:space="0" w:color="auto"/>
              <w:bottom w:val="single" w:sz="8" w:space="0" w:color="auto"/>
              <w:right w:val="single" w:sz="8" w:space="0" w:color="auto"/>
            </w:tcBorders>
            <w:shd w:val="clear" w:color="000000" w:fill="FFFFFF"/>
            <w:vAlign w:val="center"/>
            <w:hideMark/>
          </w:tcPr>
          <w:p w14:paraId="06072D68"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Inversiones Temporales (Hasta 3 Meses)</w:t>
            </w:r>
          </w:p>
        </w:tc>
        <w:tc>
          <w:tcPr>
            <w:tcW w:w="1843" w:type="dxa"/>
            <w:tcBorders>
              <w:top w:val="nil"/>
              <w:left w:val="nil"/>
              <w:bottom w:val="single" w:sz="8" w:space="0" w:color="auto"/>
              <w:right w:val="single" w:sz="8" w:space="0" w:color="auto"/>
            </w:tcBorders>
            <w:shd w:val="clear" w:color="000000" w:fill="FFFFFF"/>
            <w:vAlign w:val="center"/>
            <w:hideMark/>
          </w:tcPr>
          <w:p w14:paraId="5C659824"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8,037,895,309</w:t>
            </w:r>
          </w:p>
        </w:tc>
        <w:tc>
          <w:tcPr>
            <w:tcW w:w="1843" w:type="dxa"/>
            <w:tcBorders>
              <w:top w:val="nil"/>
              <w:left w:val="nil"/>
              <w:bottom w:val="single" w:sz="8" w:space="0" w:color="auto"/>
              <w:right w:val="single" w:sz="8" w:space="0" w:color="auto"/>
            </w:tcBorders>
            <w:shd w:val="clear" w:color="000000" w:fill="FFFFFF"/>
            <w:vAlign w:val="center"/>
            <w:hideMark/>
          </w:tcPr>
          <w:p w14:paraId="408A811C"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7,512,643,306</w:t>
            </w:r>
          </w:p>
        </w:tc>
      </w:tr>
      <w:tr w:rsidR="00926C5C" w:rsidRPr="00192892" w14:paraId="41EE2BD7" w14:textId="77777777" w:rsidTr="00B9559F">
        <w:trPr>
          <w:trHeight w:val="330"/>
        </w:trPr>
        <w:tc>
          <w:tcPr>
            <w:tcW w:w="5155" w:type="dxa"/>
            <w:tcBorders>
              <w:top w:val="nil"/>
              <w:left w:val="single" w:sz="8" w:space="0" w:color="auto"/>
              <w:bottom w:val="single" w:sz="8" w:space="0" w:color="auto"/>
              <w:right w:val="single" w:sz="8" w:space="0" w:color="auto"/>
            </w:tcBorders>
            <w:shd w:val="clear" w:color="000000" w:fill="FFFFFF"/>
            <w:vAlign w:val="center"/>
            <w:hideMark/>
          </w:tcPr>
          <w:p w14:paraId="2214AB85"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0E04C1C5"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12,116,856,856</w:t>
            </w:r>
          </w:p>
        </w:tc>
        <w:tc>
          <w:tcPr>
            <w:tcW w:w="1843" w:type="dxa"/>
            <w:tcBorders>
              <w:top w:val="nil"/>
              <w:left w:val="nil"/>
              <w:bottom w:val="single" w:sz="8" w:space="0" w:color="auto"/>
              <w:right w:val="single" w:sz="8" w:space="0" w:color="auto"/>
            </w:tcBorders>
            <w:shd w:val="clear" w:color="000000" w:fill="FFFFFF"/>
            <w:noWrap/>
            <w:vAlign w:val="center"/>
            <w:hideMark/>
          </w:tcPr>
          <w:p w14:paraId="678A5BBC"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10,353,171,768</w:t>
            </w:r>
          </w:p>
        </w:tc>
      </w:tr>
    </w:tbl>
    <w:p w14:paraId="6914AA33" w14:textId="77777777" w:rsidR="00926C5C" w:rsidRPr="00192892" w:rsidRDefault="00926C5C" w:rsidP="00926C5C">
      <w:pPr>
        <w:jc w:val="both"/>
        <w:rPr>
          <w:rFonts w:ascii="Montserrat" w:hAnsi="Montserrat"/>
          <w:sz w:val="22"/>
          <w:szCs w:val="22"/>
        </w:rPr>
      </w:pPr>
    </w:p>
    <w:p w14:paraId="1782EABA" w14:textId="77777777" w:rsidR="00926C5C" w:rsidRPr="00192892" w:rsidRDefault="00926C5C" w:rsidP="00926C5C">
      <w:pPr>
        <w:rPr>
          <w:rFonts w:ascii="Montserrat" w:hAnsi="Montserrat"/>
          <w:b/>
          <w:sz w:val="22"/>
          <w:szCs w:val="22"/>
        </w:rPr>
      </w:pPr>
      <w:bookmarkStart w:id="8" w:name="_Hlk157388789"/>
    </w:p>
    <w:p w14:paraId="14738E15"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5.- Derechos a recibir Efectivo y Equivalentes y Bienes o Servicios</w:t>
      </w:r>
    </w:p>
    <w:p w14:paraId="301E6B0F" w14:textId="77777777" w:rsidR="00926C5C" w:rsidRPr="00192892" w:rsidRDefault="00926C5C" w:rsidP="00926C5C">
      <w:pPr>
        <w:jc w:val="both"/>
        <w:rPr>
          <w:rFonts w:ascii="Montserrat" w:hAnsi="Montserrat"/>
          <w:b/>
          <w:sz w:val="22"/>
          <w:szCs w:val="22"/>
        </w:rPr>
      </w:pPr>
    </w:p>
    <w:p w14:paraId="19FDF777" w14:textId="77777777" w:rsidR="00926C5C" w:rsidRPr="00192892" w:rsidRDefault="00926C5C" w:rsidP="00926C5C">
      <w:pPr>
        <w:jc w:val="both"/>
        <w:rPr>
          <w:rFonts w:ascii="Montserrat" w:hAnsi="Montserrat"/>
          <w:b/>
          <w:sz w:val="22"/>
          <w:szCs w:val="22"/>
        </w:rPr>
      </w:pPr>
      <w:r w:rsidRPr="00192892">
        <w:rPr>
          <w:rFonts w:ascii="Montserrat" w:hAnsi="Montserrat"/>
          <w:b/>
          <w:sz w:val="22"/>
          <w:szCs w:val="22"/>
        </w:rPr>
        <w:t>Derechos a Recibir Efectivo o Equivalentes</w:t>
      </w:r>
    </w:p>
    <w:bookmarkEnd w:id="8"/>
    <w:p w14:paraId="3F0B61FA" w14:textId="77777777" w:rsidR="00926C5C" w:rsidRPr="00192892" w:rsidRDefault="00926C5C" w:rsidP="00926C5C">
      <w:pPr>
        <w:jc w:val="both"/>
        <w:rPr>
          <w:rFonts w:ascii="Montserrat" w:hAnsi="Montserrat"/>
          <w:b/>
          <w:sz w:val="22"/>
          <w:szCs w:val="22"/>
        </w:rPr>
      </w:pPr>
    </w:p>
    <w:p w14:paraId="32BA942E"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Este rubro del Poder Ejecutivo se integra del saldo de Cuentas por Cobrar y Deudores Diversos a Corto plazo, por Derechos a Recibir Efectivo y Equivalentes que tienen los entes públicos que lo conforman y los cuales al cierre del periodo enero-septiembre de 2024 y 2023 se encuentran integrados de:</w:t>
      </w:r>
    </w:p>
    <w:p w14:paraId="3AD372D1" w14:textId="77777777" w:rsidR="00926C5C" w:rsidRPr="00192892" w:rsidRDefault="00926C5C" w:rsidP="00926C5C">
      <w:pPr>
        <w:keepNext/>
        <w:pBdr>
          <w:top w:val="nil"/>
          <w:left w:val="nil"/>
          <w:bottom w:val="nil"/>
          <w:right w:val="nil"/>
          <w:between w:val="nil"/>
        </w:pBdr>
        <w:jc w:val="center"/>
        <w:rPr>
          <w:rFonts w:ascii="Montserrat" w:hAnsi="Montserrat"/>
          <w:b/>
          <w:sz w:val="22"/>
          <w:szCs w:val="22"/>
        </w:rPr>
      </w:pPr>
    </w:p>
    <w:p w14:paraId="5CE8880D" w14:textId="77777777" w:rsidR="00926C5C" w:rsidRPr="00192892" w:rsidRDefault="00926C5C" w:rsidP="00926C5C">
      <w:pPr>
        <w:keepNext/>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4BFE7B30" w14:textId="77777777" w:rsidTr="00E62671">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FB8498A"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3BEA25C6"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20B7F353"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7D6FCF6D" w14:textId="77777777" w:rsidTr="00E62671">
        <w:trPr>
          <w:trHeight w:val="397"/>
        </w:trPr>
        <w:tc>
          <w:tcPr>
            <w:tcW w:w="515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CC8B793"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Cuentas Por Cobrar A Corto Plazo</w:t>
            </w:r>
          </w:p>
        </w:tc>
        <w:tc>
          <w:tcPr>
            <w:tcW w:w="1843" w:type="dxa"/>
            <w:tcBorders>
              <w:top w:val="single" w:sz="8" w:space="0" w:color="auto"/>
              <w:left w:val="nil"/>
              <w:bottom w:val="single" w:sz="4" w:space="0" w:color="auto"/>
              <w:right w:val="single" w:sz="8" w:space="0" w:color="auto"/>
            </w:tcBorders>
            <w:shd w:val="clear" w:color="000000" w:fill="FFFFFF"/>
            <w:vAlign w:val="center"/>
            <w:hideMark/>
          </w:tcPr>
          <w:p w14:paraId="3B378C1F"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43,816,716</w:t>
            </w:r>
          </w:p>
        </w:tc>
        <w:tc>
          <w:tcPr>
            <w:tcW w:w="1843" w:type="dxa"/>
            <w:tcBorders>
              <w:top w:val="single" w:sz="8" w:space="0" w:color="auto"/>
              <w:left w:val="nil"/>
              <w:bottom w:val="single" w:sz="4" w:space="0" w:color="auto"/>
              <w:right w:val="single" w:sz="8" w:space="0" w:color="auto"/>
            </w:tcBorders>
            <w:shd w:val="clear" w:color="000000" w:fill="FFFFFF"/>
            <w:vAlign w:val="center"/>
            <w:hideMark/>
          </w:tcPr>
          <w:p w14:paraId="5D0755B4"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34,655,826</w:t>
            </w:r>
          </w:p>
        </w:tc>
      </w:tr>
      <w:tr w:rsidR="00926C5C" w:rsidRPr="00192892" w14:paraId="7B41FCB3" w14:textId="77777777" w:rsidTr="00E62671">
        <w:trPr>
          <w:trHeight w:val="397"/>
        </w:trPr>
        <w:tc>
          <w:tcPr>
            <w:tcW w:w="515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5757E29"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Deudores Diversos Por Cobrar A Corto Plazo</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4775C495"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947,066,208</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0C03723B"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942,222,145</w:t>
            </w:r>
          </w:p>
        </w:tc>
      </w:tr>
      <w:tr w:rsidR="00926C5C" w:rsidRPr="00192892" w14:paraId="423B5214" w14:textId="77777777" w:rsidTr="00E62671">
        <w:trPr>
          <w:trHeight w:val="397"/>
        </w:trPr>
        <w:tc>
          <w:tcPr>
            <w:tcW w:w="5155"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D8852DE"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Ingresos Por Recuperar A Corto Plazo</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61DFE19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 xml:space="preserve">   2,228,635,387 </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64DE60FA"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 xml:space="preserve">    678,923,534 </w:t>
            </w:r>
          </w:p>
        </w:tc>
      </w:tr>
      <w:tr w:rsidR="00926C5C" w:rsidRPr="00192892" w14:paraId="51151E1D" w14:textId="77777777" w:rsidTr="00E62671">
        <w:trPr>
          <w:trHeight w:val="397"/>
        </w:trPr>
        <w:tc>
          <w:tcPr>
            <w:tcW w:w="5155"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78C89B62"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Deudores Por Anticipos De La Tesorería A Corto Plazo</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42FE01CD"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 xml:space="preserve">     375,187,046 </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2597F169"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360,505,854</w:t>
            </w:r>
          </w:p>
        </w:tc>
      </w:tr>
      <w:tr w:rsidR="00926C5C" w:rsidRPr="00192892" w14:paraId="22529373" w14:textId="77777777" w:rsidTr="00E62671">
        <w:trPr>
          <w:trHeight w:val="397"/>
        </w:trPr>
        <w:tc>
          <w:tcPr>
            <w:tcW w:w="5155"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323117A0"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Préstamos Otorgados A Corto Plazo</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20642DD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370,549,957</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3E3F6D5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281,421,589</w:t>
            </w:r>
          </w:p>
        </w:tc>
      </w:tr>
      <w:tr w:rsidR="00926C5C" w:rsidRPr="00192892" w14:paraId="3FE00C20" w14:textId="77777777" w:rsidTr="00E62671">
        <w:trPr>
          <w:trHeight w:val="397"/>
        </w:trPr>
        <w:tc>
          <w:tcPr>
            <w:tcW w:w="5155"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4EF6B62" w14:textId="7BDD3C43"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 xml:space="preserve">Otros Derechos A Recibir Efectivo O Equivalentes A CP         </w:t>
            </w: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7FF768D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3,718,193,840</w:t>
            </w: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517CE813"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3,480,275,900</w:t>
            </w:r>
          </w:p>
        </w:tc>
      </w:tr>
      <w:tr w:rsidR="00926C5C" w:rsidRPr="00192892" w14:paraId="6C95A36B" w14:textId="77777777" w:rsidTr="00B9559F">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113DFEB2"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1260A8B1"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7,683,449,155</w:t>
            </w:r>
          </w:p>
        </w:tc>
        <w:tc>
          <w:tcPr>
            <w:tcW w:w="1843" w:type="dxa"/>
            <w:tcBorders>
              <w:top w:val="nil"/>
              <w:left w:val="nil"/>
              <w:bottom w:val="single" w:sz="8" w:space="0" w:color="auto"/>
              <w:right w:val="single" w:sz="8" w:space="0" w:color="auto"/>
            </w:tcBorders>
            <w:shd w:val="clear" w:color="000000" w:fill="FFFFFF"/>
            <w:noWrap/>
            <w:vAlign w:val="center"/>
            <w:hideMark/>
          </w:tcPr>
          <w:p w14:paraId="2134405B"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5,778,004,848</w:t>
            </w:r>
          </w:p>
        </w:tc>
      </w:tr>
    </w:tbl>
    <w:p w14:paraId="43AB4133" w14:textId="77777777" w:rsidR="00926C5C" w:rsidRPr="00192892" w:rsidRDefault="00926C5C" w:rsidP="00926C5C">
      <w:pPr>
        <w:jc w:val="both"/>
        <w:rPr>
          <w:rFonts w:ascii="Montserrat" w:hAnsi="Montserrat"/>
          <w:b/>
          <w:sz w:val="22"/>
          <w:szCs w:val="22"/>
        </w:rPr>
      </w:pPr>
    </w:p>
    <w:p w14:paraId="1BF108C9" w14:textId="77777777" w:rsidR="00926C5C" w:rsidRPr="00192892" w:rsidRDefault="00926C5C" w:rsidP="00926C5C">
      <w:pPr>
        <w:rPr>
          <w:rFonts w:ascii="Montserrat" w:hAnsi="Montserrat"/>
          <w:sz w:val="22"/>
          <w:szCs w:val="22"/>
        </w:rPr>
      </w:pPr>
    </w:p>
    <w:p w14:paraId="30F07EB1" w14:textId="77777777" w:rsidR="00E62671" w:rsidRDefault="00E62671" w:rsidP="00926C5C">
      <w:pPr>
        <w:jc w:val="both"/>
        <w:rPr>
          <w:rFonts w:ascii="Montserrat" w:hAnsi="Montserrat"/>
          <w:b/>
          <w:sz w:val="22"/>
          <w:szCs w:val="22"/>
        </w:rPr>
      </w:pPr>
    </w:p>
    <w:p w14:paraId="47E71963" w14:textId="77777777" w:rsidR="00E62671" w:rsidRDefault="00E62671" w:rsidP="00926C5C">
      <w:pPr>
        <w:jc w:val="both"/>
        <w:rPr>
          <w:rFonts w:ascii="Montserrat" w:hAnsi="Montserrat"/>
          <w:b/>
          <w:sz w:val="22"/>
          <w:szCs w:val="22"/>
        </w:rPr>
      </w:pPr>
    </w:p>
    <w:p w14:paraId="08EAD6E6" w14:textId="153907A6" w:rsidR="00926C5C" w:rsidRPr="00192892" w:rsidRDefault="00926C5C" w:rsidP="00926C5C">
      <w:pPr>
        <w:jc w:val="both"/>
        <w:rPr>
          <w:rFonts w:ascii="Montserrat" w:hAnsi="Montserrat"/>
          <w:b/>
          <w:sz w:val="22"/>
          <w:szCs w:val="22"/>
        </w:rPr>
      </w:pPr>
      <w:r w:rsidRPr="00192892">
        <w:rPr>
          <w:rFonts w:ascii="Montserrat" w:hAnsi="Montserrat"/>
          <w:b/>
          <w:sz w:val="22"/>
          <w:szCs w:val="22"/>
        </w:rPr>
        <w:lastRenderedPageBreak/>
        <w:t>Derechos a Recibir Bienes o Servicios</w:t>
      </w:r>
    </w:p>
    <w:p w14:paraId="3442DACC" w14:textId="77777777" w:rsidR="00926C5C" w:rsidRPr="00192892" w:rsidRDefault="00926C5C" w:rsidP="00926C5C">
      <w:pPr>
        <w:jc w:val="both"/>
        <w:rPr>
          <w:rFonts w:ascii="Montserrat" w:hAnsi="Montserrat"/>
          <w:sz w:val="22"/>
          <w:szCs w:val="22"/>
        </w:rPr>
      </w:pPr>
    </w:p>
    <w:p w14:paraId="03D08227"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El rubro de Derechos a Recibir Bienes o Servicios corresponde a anticipos otorgados a proveedores y contratistas para la ejecución de obra pública en proceso que tienen los entes públicos que conforman el Poder Ejecutivo y cuyo saldo al cierre del periodo enero-septiembre de 2024 y 2023, se encuentra integrado de:</w:t>
      </w:r>
    </w:p>
    <w:p w14:paraId="711DD4ED" w14:textId="77777777" w:rsidR="00926C5C" w:rsidRPr="00192892" w:rsidRDefault="00926C5C" w:rsidP="00926C5C">
      <w:pPr>
        <w:jc w:val="both"/>
        <w:rPr>
          <w:rFonts w:ascii="Montserrat" w:hAnsi="Montserrat"/>
          <w:sz w:val="22"/>
          <w:szCs w:val="22"/>
        </w:rPr>
      </w:pPr>
    </w:p>
    <w:p w14:paraId="207E823C"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830" w:type="dxa"/>
        <w:tblInd w:w="80" w:type="dxa"/>
        <w:tblCellMar>
          <w:left w:w="70" w:type="dxa"/>
          <w:right w:w="70" w:type="dxa"/>
        </w:tblCellMar>
        <w:tblLook w:val="04A0" w:firstRow="1" w:lastRow="0" w:firstColumn="1" w:lastColumn="0" w:noHBand="0" w:noVBand="1"/>
      </w:tblPr>
      <w:tblGrid>
        <w:gridCol w:w="5116"/>
        <w:gridCol w:w="1882"/>
        <w:gridCol w:w="1832"/>
      </w:tblGrid>
      <w:tr w:rsidR="004B3002" w:rsidRPr="004B3002" w14:paraId="664D0C13" w14:textId="77777777" w:rsidTr="00B9559F">
        <w:trPr>
          <w:trHeight w:val="330"/>
        </w:trPr>
        <w:tc>
          <w:tcPr>
            <w:tcW w:w="5116"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056EE45"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82" w:type="dxa"/>
            <w:tcBorders>
              <w:top w:val="single" w:sz="8" w:space="0" w:color="auto"/>
              <w:left w:val="nil"/>
              <w:bottom w:val="single" w:sz="8" w:space="0" w:color="auto"/>
              <w:right w:val="single" w:sz="8" w:space="0" w:color="auto"/>
            </w:tcBorders>
            <w:shd w:val="clear" w:color="000000" w:fill="828282"/>
            <w:vAlign w:val="center"/>
            <w:hideMark/>
          </w:tcPr>
          <w:p w14:paraId="11FFA8EE"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32" w:type="dxa"/>
            <w:tcBorders>
              <w:top w:val="single" w:sz="8" w:space="0" w:color="auto"/>
              <w:left w:val="nil"/>
              <w:bottom w:val="single" w:sz="8" w:space="0" w:color="auto"/>
              <w:right w:val="single" w:sz="8" w:space="0" w:color="auto"/>
            </w:tcBorders>
            <w:shd w:val="clear" w:color="000000" w:fill="828282"/>
            <w:vAlign w:val="center"/>
            <w:hideMark/>
          </w:tcPr>
          <w:p w14:paraId="18008077"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371F1926" w14:textId="77777777" w:rsidTr="00E62671">
        <w:trPr>
          <w:trHeight w:val="397"/>
        </w:trPr>
        <w:tc>
          <w:tcPr>
            <w:tcW w:w="5116" w:type="dxa"/>
            <w:tcBorders>
              <w:top w:val="nil"/>
              <w:left w:val="single" w:sz="8" w:space="0" w:color="auto"/>
              <w:bottom w:val="single" w:sz="8" w:space="0" w:color="auto"/>
              <w:right w:val="single" w:sz="8" w:space="0" w:color="auto"/>
            </w:tcBorders>
            <w:shd w:val="clear" w:color="000000" w:fill="FFFFFF"/>
            <w:vAlign w:val="center"/>
            <w:hideMark/>
          </w:tcPr>
          <w:p w14:paraId="34D5339B"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Anticipo a Proveedores por Adquisición de Bienes y Prestación de Servicios a Corto</w:t>
            </w:r>
          </w:p>
        </w:tc>
        <w:tc>
          <w:tcPr>
            <w:tcW w:w="1882" w:type="dxa"/>
            <w:tcBorders>
              <w:top w:val="nil"/>
              <w:left w:val="nil"/>
              <w:bottom w:val="single" w:sz="8" w:space="0" w:color="auto"/>
              <w:right w:val="single" w:sz="8" w:space="0" w:color="auto"/>
            </w:tcBorders>
            <w:shd w:val="clear" w:color="000000" w:fill="FFFFFF"/>
            <w:vAlign w:val="center"/>
            <w:hideMark/>
          </w:tcPr>
          <w:p w14:paraId="7229A11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24,459,285</w:t>
            </w:r>
          </w:p>
        </w:tc>
        <w:tc>
          <w:tcPr>
            <w:tcW w:w="1832" w:type="dxa"/>
            <w:tcBorders>
              <w:top w:val="nil"/>
              <w:left w:val="nil"/>
              <w:bottom w:val="single" w:sz="8" w:space="0" w:color="auto"/>
              <w:right w:val="single" w:sz="8" w:space="0" w:color="auto"/>
            </w:tcBorders>
            <w:shd w:val="clear" w:color="000000" w:fill="FFFFFF"/>
            <w:vAlign w:val="center"/>
            <w:hideMark/>
          </w:tcPr>
          <w:p w14:paraId="4214E843"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24,459,285</w:t>
            </w:r>
          </w:p>
        </w:tc>
      </w:tr>
      <w:tr w:rsidR="00926C5C" w:rsidRPr="00192892" w14:paraId="04B83288" w14:textId="77777777" w:rsidTr="00E62671">
        <w:trPr>
          <w:trHeight w:val="397"/>
        </w:trPr>
        <w:tc>
          <w:tcPr>
            <w:tcW w:w="5116" w:type="dxa"/>
            <w:tcBorders>
              <w:top w:val="nil"/>
              <w:left w:val="single" w:sz="8" w:space="0" w:color="auto"/>
              <w:bottom w:val="single" w:sz="8" w:space="0" w:color="auto"/>
              <w:right w:val="single" w:sz="8" w:space="0" w:color="auto"/>
            </w:tcBorders>
            <w:shd w:val="clear" w:color="000000" w:fill="FFFFFF"/>
            <w:vAlign w:val="center"/>
            <w:hideMark/>
          </w:tcPr>
          <w:p w14:paraId="3F14933B"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Anticipo a Contratistas por Obras Públicas a CP</w:t>
            </w:r>
          </w:p>
        </w:tc>
        <w:tc>
          <w:tcPr>
            <w:tcW w:w="1882" w:type="dxa"/>
            <w:tcBorders>
              <w:top w:val="nil"/>
              <w:left w:val="nil"/>
              <w:bottom w:val="single" w:sz="8" w:space="0" w:color="auto"/>
              <w:right w:val="single" w:sz="8" w:space="0" w:color="auto"/>
            </w:tcBorders>
            <w:shd w:val="clear" w:color="000000" w:fill="FFFFFF"/>
            <w:vAlign w:val="center"/>
            <w:hideMark/>
          </w:tcPr>
          <w:p w14:paraId="136122C4"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217,557,077</w:t>
            </w:r>
          </w:p>
        </w:tc>
        <w:tc>
          <w:tcPr>
            <w:tcW w:w="1832" w:type="dxa"/>
            <w:tcBorders>
              <w:top w:val="nil"/>
              <w:left w:val="nil"/>
              <w:bottom w:val="single" w:sz="8" w:space="0" w:color="auto"/>
              <w:right w:val="single" w:sz="8" w:space="0" w:color="auto"/>
            </w:tcBorders>
            <w:shd w:val="clear" w:color="000000" w:fill="FFFFFF"/>
            <w:vAlign w:val="center"/>
            <w:hideMark/>
          </w:tcPr>
          <w:p w14:paraId="107F750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74,068,370</w:t>
            </w:r>
          </w:p>
        </w:tc>
      </w:tr>
      <w:tr w:rsidR="00926C5C" w:rsidRPr="00192892" w14:paraId="27BE5CB5" w14:textId="77777777" w:rsidTr="00E62671">
        <w:trPr>
          <w:trHeight w:val="397"/>
        </w:trPr>
        <w:tc>
          <w:tcPr>
            <w:tcW w:w="5116" w:type="dxa"/>
            <w:tcBorders>
              <w:top w:val="nil"/>
              <w:left w:val="single" w:sz="8" w:space="0" w:color="auto"/>
              <w:bottom w:val="single" w:sz="8" w:space="0" w:color="auto"/>
              <w:right w:val="single" w:sz="8" w:space="0" w:color="auto"/>
            </w:tcBorders>
            <w:shd w:val="clear" w:color="000000" w:fill="FFFFFF"/>
            <w:noWrap/>
            <w:vAlign w:val="center"/>
            <w:hideMark/>
          </w:tcPr>
          <w:p w14:paraId="2977415B"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82" w:type="dxa"/>
            <w:tcBorders>
              <w:top w:val="nil"/>
              <w:left w:val="nil"/>
              <w:bottom w:val="single" w:sz="8" w:space="0" w:color="auto"/>
              <w:right w:val="single" w:sz="8" w:space="0" w:color="auto"/>
            </w:tcBorders>
            <w:shd w:val="clear" w:color="000000" w:fill="FFFFFF"/>
            <w:noWrap/>
            <w:vAlign w:val="center"/>
            <w:hideMark/>
          </w:tcPr>
          <w:p w14:paraId="5F131181"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242,016,362</w:t>
            </w:r>
          </w:p>
        </w:tc>
        <w:tc>
          <w:tcPr>
            <w:tcW w:w="1832" w:type="dxa"/>
            <w:tcBorders>
              <w:top w:val="nil"/>
              <w:left w:val="nil"/>
              <w:bottom w:val="single" w:sz="8" w:space="0" w:color="auto"/>
              <w:right w:val="single" w:sz="8" w:space="0" w:color="auto"/>
            </w:tcBorders>
            <w:shd w:val="clear" w:color="000000" w:fill="FFFFFF"/>
            <w:noWrap/>
            <w:vAlign w:val="center"/>
            <w:hideMark/>
          </w:tcPr>
          <w:p w14:paraId="79936CB5"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98,527,655</w:t>
            </w:r>
          </w:p>
        </w:tc>
      </w:tr>
    </w:tbl>
    <w:p w14:paraId="4CF75675" w14:textId="77777777" w:rsidR="00926C5C" w:rsidRPr="00192892" w:rsidRDefault="00926C5C" w:rsidP="00926C5C">
      <w:pPr>
        <w:jc w:val="both"/>
        <w:rPr>
          <w:rFonts w:ascii="Montserrat" w:hAnsi="Montserrat"/>
          <w:sz w:val="22"/>
          <w:szCs w:val="22"/>
        </w:rPr>
      </w:pPr>
    </w:p>
    <w:p w14:paraId="47BCA404" w14:textId="77777777" w:rsidR="00926C5C" w:rsidRPr="00192892" w:rsidRDefault="00926C5C" w:rsidP="00926C5C">
      <w:pPr>
        <w:jc w:val="both"/>
        <w:rPr>
          <w:rFonts w:ascii="Montserrat" w:hAnsi="Montserrat"/>
          <w:sz w:val="22"/>
          <w:szCs w:val="22"/>
        </w:rPr>
      </w:pPr>
      <w:bookmarkStart w:id="9" w:name="_Hlk157390620"/>
      <w:r w:rsidRPr="00192892">
        <w:rPr>
          <w:rFonts w:ascii="Montserrat" w:hAnsi="Montserrat"/>
          <w:sz w:val="22"/>
          <w:szCs w:val="22"/>
        </w:rPr>
        <w:t xml:space="preserve">En el rubro de Derechos a recibir Efectivos y Equivalentes y Bienes o Servicios, cada dependencia del Poder Judicial debe señalar en sus notas del informe trimestral de manera desglosada los siguientes requerimientos: </w:t>
      </w:r>
    </w:p>
    <w:p w14:paraId="2AECFB4E" w14:textId="77777777" w:rsidR="00926C5C" w:rsidRPr="00192892" w:rsidRDefault="00926C5C" w:rsidP="00926C5C">
      <w:pPr>
        <w:jc w:val="both"/>
        <w:rPr>
          <w:rFonts w:ascii="Montserrat" w:hAnsi="Montserrat"/>
          <w:sz w:val="22"/>
          <w:szCs w:val="22"/>
        </w:rPr>
      </w:pPr>
    </w:p>
    <w:p w14:paraId="6071AE9C"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04447742" w14:textId="77777777" w:rsidR="00926C5C" w:rsidRPr="00192892" w:rsidRDefault="00926C5C" w:rsidP="00926C5C">
      <w:pPr>
        <w:jc w:val="both"/>
        <w:rPr>
          <w:rFonts w:ascii="Montserrat" w:hAnsi="Montserrat"/>
          <w:sz w:val="22"/>
          <w:szCs w:val="22"/>
        </w:rPr>
      </w:pPr>
    </w:p>
    <w:p w14:paraId="519FD79F"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7C1FD4E3" w14:textId="77777777" w:rsidR="00926C5C" w:rsidRPr="00192892" w:rsidRDefault="00926C5C" w:rsidP="00926C5C">
      <w:pPr>
        <w:jc w:val="both"/>
        <w:rPr>
          <w:rFonts w:ascii="Montserrat" w:hAnsi="Montserrat"/>
          <w:sz w:val="22"/>
          <w:szCs w:val="22"/>
        </w:rPr>
      </w:pPr>
    </w:p>
    <w:p w14:paraId="6C36F868"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6.- Inventarios</w:t>
      </w:r>
    </w:p>
    <w:p w14:paraId="13E49602" w14:textId="77777777" w:rsidR="00926C5C" w:rsidRPr="00192892" w:rsidRDefault="00926C5C" w:rsidP="00926C5C">
      <w:pPr>
        <w:pStyle w:val="Texto"/>
        <w:spacing w:after="0" w:line="203" w:lineRule="exact"/>
        <w:ind w:firstLine="289"/>
        <w:rPr>
          <w:rFonts w:ascii="Montserrat" w:hAnsi="Montserrat"/>
          <w:b/>
          <w:sz w:val="22"/>
          <w:szCs w:val="22"/>
          <w:lang w:val="es-MX"/>
        </w:rPr>
      </w:pPr>
    </w:p>
    <w:p w14:paraId="435B97AE"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Dentro del rubro de inventarios las dependencias del Poder Ejecutivo no presentan saldos, toda vez que por su actividad no es una cuenta que se requiera, ya que no cuentan con bienes para su transformación.</w:t>
      </w:r>
    </w:p>
    <w:p w14:paraId="2BD6B698" w14:textId="77777777" w:rsidR="00926C5C" w:rsidRPr="00192892" w:rsidRDefault="00926C5C" w:rsidP="00926C5C">
      <w:pPr>
        <w:pStyle w:val="ROMANOS"/>
        <w:spacing w:after="0" w:line="203" w:lineRule="exact"/>
        <w:ind w:hanging="431"/>
        <w:rPr>
          <w:rFonts w:ascii="Montserrat" w:hAnsi="Montserrat"/>
          <w:sz w:val="22"/>
          <w:szCs w:val="22"/>
          <w:lang w:val="es-MX"/>
        </w:rPr>
      </w:pPr>
    </w:p>
    <w:p w14:paraId="6727AA86" w14:textId="77777777" w:rsidR="00926C5C" w:rsidRPr="00192892" w:rsidRDefault="00926C5C" w:rsidP="00B9559F">
      <w:pPr>
        <w:keepNext/>
        <w:rPr>
          <w:rFonts w:ascii="Montserrat" w:hAnsi="Montserrat"/>
          <w:b/>
          <w:sz w:val="22"/>
          <w:szCs w:val="22"/>
        </w:rPr>
      </w:pPr>
      <w:r w:rsidRPr="00192892">
        <w:rPr>
          <w:rFonts w:ascii="Montserrat" w:hAnsi="Montserrat"/>
          <w:b/>
          <w:sz w:val="22"/>
          <w:szCs w:val="22"/>
        </w:rPr>
        <w:t>Nota 7.- Almacenes</w:t>
      </w:r>
    </w:p>
    <w:p w14:paraId="77C5D78E" w14:textId="77777777" w:rsidR="00926C5C" w:rsidRPr="00192892" w:rsidRDefault="00926C5C" w:rsidP="00926C5C">
      <w:pPr>
        <w:rPr>
          <w:rFonts w:ascii="Montserrat" w:hAnsi="Montserrat"/>
          <w:b/>
          <w:sz w:val="22"/>
          <w:szCs w:val="22"/>
        </w:rPr>
      </w:pPr>
    </w:p>
    <w:p w14:paraId="7BEB4C9B"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 xml:space="preserve">Dentro del rubro de almacenes las dependencias del Poder Ejecutivo no presentan saldos, toda vez que por su actividad no es una cuenta que se requiera, ya que no cuentan con Materiales de Administración, Emisión de Documentos y </w:t>
      </w:r>
      <w:r w:rsidRPr="00192892">
        <w:rPr>
          <w:rFonts w:ascii="Montserrat" w:hAnsi="Montserrat"/>
          <w:sz w:val="22"/>
          <w:szCs w:val="22"/>
        </w:rPr>
        <w:lastRenderedPageBreak/>
        <w:t xml:space="preserve">Artículos Oficiales ni Herramientas, Refacciones y Accesorios Menores para Consumo </w:t>
      </w:r>
    </w:p>
    <w:p w14:paraId="0CE6D76A" w14:textId="77777777" w:rsidR="00926C5C" w:rsidRPr="00192892" w:rsidRDefault="00926C5C" w:rsidP="00926C5C">
      <w:pPr>
        <w:rPr>
          <w:rFonts w:ascii="Montserrat" w:hAnsi="Montserrat"/>
          <w:b/>
          <w:sz w:val="22"/>
          <w:szCs w:val="22"/>
        </w:rPr>
      </w:pPr>
    </w:p>
    <w:p w14:paraId="0EE2AFCA" w14:textId="77777777" w:rsidR="00926C5C" w:rsidRPr="00192892" w:rsidRDefault="00926C5C" w:rsidP="00926C5C">
      <w:pPr>
        <w:rPr>
          <w:rFonts w:ascii="Montserrat" w:hAnsi="Montserrat"/>
          <w:sz w:val="22"/>
          <w:szCs w:val="22"/>
        </w:rPr>
      </w:pPr>
      <w:r w:rsidRPr="00192892">
        <w:rPr>
          <w:rFonts w:ascii="Montserrat" w:hAnsi="Montserrat"/>
          <w:b/>
          <w:sz w:val="22"/>
          <w:szCs w:val="22"/>
        </w:rPr>
        <w:t>Nota 8.- Inversiones Financieras a Largo Plazo.</w:t>
      </w:r>
    </w:p>
    <w:bookmarkEnd w:id="9"/>
    <w:p w14:paraId="297E874A" w14:textId="77777777" w:rsidR="00926C5C" w:rsidRPr="00192892" w:rsidRDefault="00926C5C" w:rsidP="00926C5C">
      <w:pPr>
        <w:jc w:val="both"/>
        <w:rPr>
          <w:rFonts w:ascii="Montserrat" w:hAnsi="Montserrat"/>
          <w:sz w:val="22"/>
          <w:szCs w:val="22"/>
        </w:rPr>
      </w:pPr>
    </w:p>
    <w:p w14:paraId="7618F07B"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Del activo no circulante el rubro consolidado de Inversiones Financieras a Largo Plazo Consolidado, el saldo al cierre del periodo enero-septiembre de 2024 y 2023, son exclusivos del Poder Ejecutivo, el cual tiene invertido en títulos, valores y demás instrumentos financieros, recuperables en un plazo mayor de doce meses, como se muestra a continuación:</w:t>
      </w:r>
    </w:p>
    <w:p w14:paraId="35CE8D47" w14:textId="77777777" w:rsidR="00926C5C" w:rsidRPr="00192892" w:rsidRDefault="00926C5C" w:rsidP="00926C5C">
      <w:pPr>
        <w:jc w:val="both"/>
        <w:rPr>
          <w:rFonts w:ascii="Montserrat" w:hAnsi="Montserrat"/>
          <w:sz w:val="22"/>
          <w:szCs w:val="22"/>
        </w:rPr>
      </w:pPr>
    </w:p>
    <w:p w14:paraId="500EBA87"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15BE5625" w14:textId="77777777" w:rsidTr="00B9559F">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016AFCC"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61630E62"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302BA74F"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4094FDCB" w14:textId="77777777" w:rsidTr="00B9559F">
        <w:trPr>
          <w:trHeight w:val="315"/>
        </w:trPr>
        <w:tc>
          <w:tcPr>
            <w:tcW w:w="5155" w:type="dxa"/>
            <w:tcBorders>
              <w:top w:val="nil"/>
              <w:left w:val="single" w:sz="8" w:space="0" w:color="auto"/>
              <w:bottom w:val="single" w:sz="8" w:space="0" w:color="auto"/>
              <w:right w:val="single" w:sz="8" w:space="0" w:color="auto"/>
            </w:tcBorders>
            <w:shd w:val="clear" w:color="000000" w:fill="FFFFFF"/>
            <w:vAlign w:val="center"/>
            <w:hideMark/>
          </w:tcPr>
          <w:p w14:paraId="41FB981E" w14:textId="77777777" w:rsidR="00926C5C" w:rsidRPr="00192892" w:rsidRDefault="00926C5C" w:rsidP="00FA0078">
            <w:pPr>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 xml:space="preserve">Fideicomisos, Mandatos y Análogos </w:t>
            </w:r>
          </w:p>
        </w:tc>
        <w:tc>
          <w:tcPr>
            <w:tcW w:w="1843" w:type="dxa"/>
            <w:tcBorders>
              <w:top w:val="nil"/>
              <w:left w:val="nil"/>
              <w:bottom w:val="single" w:sz="8" w:space="0" w:color="auto"/>
              <w:right w:val="single" w:sz="8" w:space="0" w:color="auto"/>
            </w:tcBorders>
            <w:shd w:val="clear" w:color="000000" w:fill="FFFFFF"/>
            <w:vAlign w:val="center"/>
            <w:hideMark/>
          </w:tcPr>
          <w:p w14:paraId="6C07861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2,064,609,655</w:t>
            </w:r>
          </w:p>
        </w:tc>
        <w:tc>
          <w:tcPr>
            <w:tcW w:w="1843" w:type="dxa"/>
            <w:tcBorders>
              <w:top w:val="nil"/>
              <w:left w:val="nil"/>
              <w:bottom w:val="single" w:sz="8" w:space="0" w:color="auto"/>
              <w:right w:val="single" w:sz="8" w:space="0" w:color="auto"/>
            </w:tcBorders>
            <w:shd w:val="clear" w:color="000000" w:fill="FFFFFF"/>
            <w:vAlign w:val="center"/>
            <w:hideMark/>
          </w:tcPr>
          <w:p w14:paraId="77B046B1"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2,068,349,254</w:t>
            </w:r>
          </w:p>
        </w:tc>
      </w:tr>
      <w:tr w:rsidR="00926C5C" w:rsidRPr="00192892" w14:paraId="6A2474F8" w14:textId="77777777" w:rsidTr="00B9559F">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2ED93A93"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5EA8ED78"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2,064,609,655</w:t>
            </w:r>
          </w:p>
        </w:tc>
        <w:tc>
          <w:tcPr>
            <w:tcW w:w="1843" w:type="dxa"/>
            <w:tcBorders>
              <w:top w:val="nil"/>
              <w:left w:val="nil"/>
              <w:bottom w:val="single" w:sz="8" w:space="0" w:color="auto"/>
              <w:right w:val="single" w:sz="8" w:space="0" w:color="auto"/>
            </w:tcBorders>
            <w:shd w:val="clear" w:color="000000" w:fill="FFFFFF"/>
            <w:noWrap/>
            <w:vAlign w:val="center"/>
            <w:hideMark/>
          </w:tcPr>
          <w:p w14:paraId="11AB0D28"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2,068,349,254</w:t>
            </w:r>
          </w:p>
        </w:tc>
      </w:tr>
    </w:tbl>
    <w:p w14:paraId="13A84C33" w14:textId="77777777" w:rsidR="00926C5C" w:rsidRPr="00192892" w:rsidRDefault="00926C5C" w:rsidP="00926C5C">
      <w:pPr>
        <w:pBdr>
          <w:top w:val="nil"/>
          <w:left w:val="nil"/>
          <w:bottom w:val="nil"/>
          <w:right w:val="nil"/>
          <w:between w:val="nil"/>
        </w:pBdr>
        <w:rPr>
          <w:rFonts w:ascii="Montserrat" w:hAnsi="Montserrat"/>
          <w:b/>
          <w:sz w:val="22"/>
          <w:szCs w:val="22"/>
        </w:rPr>
      </w:pPr>
    </w:p>
    <w:p w14:paraId="3A800EE7" w14:textId="77777777" w:rsidR="00926C5C" w:rsidRPr="00192892" w:rsidRDefault="00926C5C" w:rsidP="00926C5C">
      <w:pPr>
        <w:rPr>
          <w:rFonts w:ascii="Montserrat" w:hAnsi="Montserrat"/>
          <w:b/>
          <w:sz w:val="22"/>
          <w:szCs w:val="22"/>
        </w:rPr>
      </w:pPr>
      <w:bookmarkStart w:id="10" w:name="_Hlk157308841"/>
      <w:bookmarkStart w:id="11" w:name="_Hlk157390724"/>
    </w:p>
    <w:p w14:paraId="5DC88D9B"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9.- Bienes Muebles, Inmuebles e Intangibles</w:t>
      </w:r>
    </w:p>
    <w:p w14:paraId="71ED5D68" w14:textId="77777777" w:rsidR="00926C5C" w:rsidRPr="00192892" w:rsidRDefault="00926C5C" w:rsidP="00926C5C">
      <w:pPr>
        <w:rPr>
          <w:rFonts w:ascii="Montserrat" w:hAnsi="Montserrat"/>
          <w:b/>
          <w:sz w:val="22"/>
          <w:szCs w:val="22"/>
        </w:rPr>
      </w:pPr>
    </w:p>
    <w:p w14:paraId="3A25406A" w14:textId="77777777" w:rsidR="00926C5C" w:rsidRPr="00192892" w:rsidRDefault="00926C5C" w:rsidP="00926C5C">
      <w:pPr>
        <w:rPr>
          <w:rFonts w:ascii="Montserrat" w:hAnsi="Montserrat"/>
          <w:b/>
          <w:sz w:val="22"/>
          <w:szCs w:val="22"/>
        </w:rPr>
      </w:pPr>
      <w:r w:rsidRPr="00192892">
        <w:rPr>
          <w:rFonts w:ascii="Montserrat" w:hAnsi="Montserrat"/>
          <w:b/>
          <w:sz w:val="22"/>
          <w:szCs w:val="22"/>
        </w:rPr>
        <w:t>Bienes Inmuebles, Infraestructura y Construcciones en Proceso.</w:t>
      </w:r>
    </w:p>
    <w:bookmarkEnd w:id="10"/>
    <w:p w14:paraId="4224F00F" w14:textId="77777777" w:rsidR="00926C5C" w:rsidRPr="00192892" w:rsidRDefault="00926C5C" w:rsidP="00926C5C">
      <w:pPr>
        <w:jc w:val="both"/>
        <w:rPr>
          <w:rFonts w:ascii="Montserrat" w:hAnsi="Montserrat"/>
          <w:sz w:val="22"/>
          <w:szCs w:val="22"/>
        </w:rPr>
      </w:pPr>
    </w:p>
    <w:bookmarkEnd w:id="11"/>
    <w:p w14:paraId="1E1A4937"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enero-septiembre de 2024 y 2023, se integran de la siguiente forma</w:t>
      </w:r>
    </w:p>
    <w:p w14:paraId="71778DAE" w14:textId="77777777" w:rsidR="00926C5C" w:rsidRPr="00192892" w:rsidRDefault="00926C5C" w:rsidP="00926C5C">
      <w:pPr>
        <w:pBdr>
          <w:top w:val="nil"/>
          <w:left w:val="nil"/>
          <w:bottom w:val="nil"/>
          <w:right w:val="nil"/>
          <w:between w:val="nil"/>
        </w:pBdr>
        <w:jc w:val="both"/>
        <w:rPr>
          <w:rFonts w:ascii="Montserrat" w:hAnsi="Montserrat"/>
          <w:sz w:val="22"/>
          <w:szCs w:val="22"/>
        </w:rPr>
      </w:pPr>
    </w:p>
    <w:p w14:paraId="12835016" w14:textId="77777777" w:rsidR="00926C5C" w:rsidRPr="00192892" w:rsidRDefault="00926C5C" w:rsidP="00926C5C">
      <w:pPr>
        <w:keepNext/>
        <w:keepLines/>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084D9065" w14:textId="77777777" w:rsidTr="00E62671">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2A429D8" w14:textId="77777777" w:rsidR="00926C5C" w:rsidRPr="004B3002" w:rsidRDefault="00926C5C" w:rsidP="00FA0078">
            <w:pP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7EE612BD"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5B69E39B"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725A168C" w14:textId="77777777" w:rsidTr="00E62671">
        <w:trPr>
          <w:trHeight w:val="300"/>
        </w:trPr>
        <w:tc>
          <w:tcPr>
            <w:tcW w:w="515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2A9396D"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Terrenos</w:t>
            </w:r>
          </w:p>
        </w:tc>
        <w:tc>
          <w:tcPr>
            <w:tcW w:w="1843" w:type="dxa"/>
            <w:tcBorders>
              <w:top w:val="single" w:sz="8" w:space="0" w:color="auto"/>
              <w:left w:val="nil"/>
              <w:bottom w:val="single" w:sz="4" w:space="0" w:color="auto"/>
              <w:right w:val="single" w:sz="8" w:space="0" w:color="auto"/>
            </w:tcBorders>
            <w:shd w:val="clear" w:color="000000" w:fill="FFFFFF"/>
            <w:vAlign w:val="center"/>
            <w:hideMark/>
          </w:tcPr>
          <w:p w14:paraId="510CD00E"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5,400,844,607</w:t>
            </w:r>
          </w:p>
        </w:tc>
        <w:tc>
          <w:tcPr>
            <w:tcW w:w="1843" w:type="dxa"/>
            <w:tcBorders>
              <w:top w:val="single" w:sz="8" w:space="0" w:color="auto"/>
              <w:left w:val="nil"/>
              <w:bottom w:val="single" w:sz="4" w:space="0" w:color="auto"/>
              <w:right w:val="single" w:sz="8" w:space="0" w:color="auto"/>
            </w:tcBorders>
            <w:shd w:val="clear" w:color="000000" w:fill="FFFFFF"/>
            <w:vAlign w:val="center"/>
            <w:hideMark/>
          </w:tcPr>
          <w:p w14:paraId="7396918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4,865,806,313</w:t>
            </w:r>
          </w:p>
        </w:tc>
      </w:tr>
      <w:tr w:rsidR="00926C5C" w:rsidRPr="00192892" w14:paraId="2966E744" w14:textId="77777777" w:rsidTr="00E62671">
        <w:trPr>
          <w:trHeight w:val="30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051FFAB7"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Edificios No Habitacionales</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36E1E9B7"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5,537,535,863</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13CFE3E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5,357,121,164</w:t>
            </w:r>
          </w:p>
        </w:tc>
      </w:tr>
      <w:tr w:rsidR="00926C5C" w:rsidRPr="00192892" w14:paraId="29DC080E" w14:textId="77777777" w:rsidTr="00E62671">
        <w:trPr>
          <w:trHeight w:val="60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BC2E714"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Construcciones En Proceso En Bienes De Dominio Público</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2F27E021"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6,679,004,481</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27CE213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6,269,232,643</w:t>
            </w:r>
          </w:p>
        </w:tc>
      </w:tr>
      <w:tr w:rsidR="00926C5C" w:rsidRPr="00192892" w14:paraId="14CEDB60" w14:textId="77777777" w:rsidTr="00E62671">
        <w:trPr>
          <w:trHeight w:val="262"/>
        </w:trPr>
        <w:tc>
          <w:tcPr>
            <w:tcW w:w="5155"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92DBDDA"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Construcciones En Proceso En Bienes Propios</w:t>
            </w: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6AD939F2"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108,716,759</w:t>
            </w: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2A90EC8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108,716,759</w:t>
            </w:r>
          </w:p>
        </w:tc>
      </w:tr>
      <w:tr w:rsidR="00926C5C" w:rsidRPr="00192892" w14:paraId="306D8CDE" w14:textId="77777777" w:rsidTr="00B9559F">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5EC2ADAB"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 xml:space="preserve">Suma </w:t>
            </w:r>
          </w:p>
        </w:tc>
        <w:tc>
          <w:tcPr>
            <w:tcW w:w="1843" w:type="dxa"/>
            <w:tcBorders>
              <w:top w:val="nil"/>
              <w:left w:val="nil"/>
              <w:bottom w:val="single" w:sz="8" w:space="0" w:color="auto"/>
              <w:right w:val="single" w:sz="8" w:space="0" w:color="auto"/>
            </w:tcBorders>
            <w:shd w:val="clear" w:color="000000" w:fill="FFFFFF"/>
            <w:vAlign w:val="center"/>
            <w:hideMark/>
          </w:tcPr>
          <w:p w14:paraId="6D8D5102"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17,726,101,709</w:t>
            </w:r>
          </w:p>
        </w:tc>
        <w:tc>
          <w:tcPr>
            <w:tcW w:w="1843" w:type="dxa"/>
            <w:tcBorders>
              <w:top w:val="nil"/>
              <w:left w:val="nil"/>
              <w:bottom w:val="single" w:sz="8" w:space="0" w:color="auto"/>
              <w:right w:val="single" w:sz="8" w:space="0" w:color="auto"/>
            </w:tcBorders>
            <w:shd w:val="clear" w:color="000000" w:fill="FFFFFF"/>
            <w:vAlign w:val="center"/>
            <w:hideMark/>
          </w:tcPr>
          <w:p w14:paraId="6169BC66"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16,600,876,879</w:t>
            </w:r>
          </w:p>
        </w:tc>
      </w:tr>
    </w:tbl>
    <w:p w14:paraId="75C1E521" w14:textId="77777777" w:rsidR="00926C5C" w:rsidRPr="00192892" w:rsidRDefault="00926C5C" w:rsidP="00926C5C">
      <w:pPr>
        <w:tabs>
          <w:tab w:val="right" w:pos="8931"/>
        </w:tabs>
        <w:jc w:val="both"/>
        <w:rPr>
          <w:rFonts w:ascii="Montserrat" w:hAnsi="Montserrat"/>
          <w:b/>
          <w:sz w:val="22"/>
          <w:szCs w:val="22"/>
        </w:rPr>
      </w:pPr>
    </w:p>
    <w:p w14:paraId="05A6B4C0" w14:textId="77777777" w:rsidR="00B9559F" w:rsidRPr="00192892" w:rsidRDefault="00B9559F" w:rsidP="00926C5C">
      <w:pPr>
        <w:rPr>
          <w:rFonts w:ascii="Montserrat" w:hAnsi="Montserrat"/>
          <w:b/>
          <w:sz w:val="22"/>
          <w:szCs w:val="22"/>
        </w:rPr>
      </w:pPr>
    </w:p>
    <w:p w14:paraId="6EEC96DD" w14:textId="77777777" w:rsidR="00B9559F" w:rsidRPr="00192892" w:rsidRDefault="00B9559F" w:rsidP="00926C5C">
      <w:pPr>
        <w:rPr>
          <w:rFonts w:ascii="Montserrat" w:hAnsi="Montserrat"/>
          <w:b/>
          <w:sz w:val="22"/>
          <w:szCs w:val="22"/>
        </w:rPr>
      </w:pPr>
    </w:p>
    <w:p w14:paraId="2A8023F1" w14:textId="6770D6C8" w:rsidR="00926C5C" w:rsidRPr="00192892" w:rsidRDefault="00926C5C" w:rsidP="00192892">
      <w:pPr>
        <w:keepNext/>
        <w:rPr>
          <w:rFonts w:ascii="Montserrat" w:hAnsi="Montserrat"/>
          <w:b/>
          <w:sz w:val="22"/>
          <w:szCs w:val="22"/>
        </w:rPr>
      </w:pPr>
      <w:r w:rsidRPr="00192892">
        <w:rPr>
          <w:rFonts w:ascii="Montserrat" w:hAnsi="Montserrat"/>
          <w:b/>
          <w:sz w:val="22"/>
          <w:szCs w:val="22"/>
        </w:rPr>
        <w:t>Bienes Muebles.</w:t>
      </w:r>
    </w:p>
    <w:p w14:paraId="10EF9F42" w14:textId="77777777" w:rsidR="00926C5C" w:rsidRPr="00192892" w:rsidRDefault="00926C5C" w:rsidP="00926C5C">
      <w:pPr>
        <w:jc w:val="both"/>
        <w:rPr>
          <w:rFonts w:ascii="Montserrat" w:hAnsi="Montserrat"/>
          <w:b/>
          <w:sz w:val="22"/>
          <w:szCs w:val="22"/>
        </w:rPr>
      </w:pPr>
    </w:p>
    <w:p w14:paraId="53BD5E1F"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lastRenderedPageBreak/>
        <w:t>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enero-septiembre de 2024 y 2023, se detalla a continuación:</w:t>
      </w:r>
    </w:p>
    <w:p w14:paraId="22D0BF7A" w14:textId="77777777" w:rsidR="00926C5C" w:rsidRPr="00192892" w:rsidRDefault="00926C5C" w:rsidP="00926C5C">
      <w:pPr>
        <w:jc w:val="center"/>
        <w:rPr>
          <w:rFonts w:ascii="Montserrat" w:hAnsi="Montserrat"/>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3C80B0D0" w14:textId="77777777" w:rsidTr="00E62671">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D4E7A98"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06C1F9CE"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5A990C7B"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6A56829C" w14:textId="77777777" w:rsidTr="00E62671">
        <w:trPr>
          <w:trHeight w:val="600"/>
        </w:trPr>
        <w:tc>
          <w:tcPr>
            <w:tcW w:w="515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300BE525"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Mobiliario y Equipo de Administración</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14:paraId="53627E27"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542,362,915</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14:paraId="048E837A"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560,742,756</w:t>
            </w:r>
          </w:p>
        </w:tc>
      </w:tr>
      <w:tr w:rsidR="00926C5C" w:rsidRPr="00192892" w14:paraId="0DDC838C" w14:textId="77777777" w:rsidTr="00E62671">
        <w:trPr>
          <w:trHeight w:val="525"/>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3DD89B8"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Mobiliario y Equipo Educacional y Recreativo</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34F912AA"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188,229,535</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524DCDC9"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172,173,770</w:t>
            </w:r>
          </w:p>
        </w:tc>
      </w:tr>
      <w:tr w:rsidR="00926C5C" w:rsidRPr="00192892" w14:paraId="08E35265" w14:textId="77777777" w:rsidTr="00E62671">
        <w:trPr>
          <w:trHeight w:val="54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FAF3812"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Equipo e Instrumental Médico y de Laboratorio</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6006FCCE"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18,508,249</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071D44C1"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18,688,578</w:t>
            </w:r>
          </w:p>
        </w:tc>
      </w:tr>
      <w:tr w:rsidR="00926C5C" w:rsidRPr="00192892" w14:paraId="54DFD812" w14:textId="77777777" w:rsidTr="00E62671">
        <w:trPr>
          <w:trHeight w:val="30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3DC9B99"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Vehículos y Equipo de Transporte</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114A0B2F"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1,067,825,820</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609BD24E"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1,095,959,138</w:t>
            </w:r>
          </w:p>
        </w:tc>
      </w:tr>
      <w:tr w:rsidR="00926C5C" w:rsidRPr="00192892" w14:paraId="263A61A0" w14:textId="77777777" w:rsidTr="00E62671">
        <w:trPr>
          <w:trHeight w:val="30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A710D4C"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Equipo de Defensa y Seguridad</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4E17DF85"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238,981,083</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04E6D307"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167,934,507</w:t>
            </w:r>
          </w:p>
        </w:tc>
      </w:tr>
      <w:tr w:rsidR="00926C5C" w:rsidRPr="00192892" w14:paraId="5358DA36" w14:textId="77777777" w:rsidTr="00E62671">
        <w:trPr>
          <w:trHeight w:val="48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8C005CD"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Maquinaria, Otros Equipos y Herramientas</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69AB58AB"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360,475,886</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6D759819"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368,387,076</w:t>
            </w:r>
          </w:p>
        </w:tc>
      </w:tr>
      <w:tr w:rsidR="00926C5C" w:rsidRPr="00192892" w14:paraId="549A7554" w14:textId="77777777" w:rsidTr="00E62671">
        <w:trPr>
          <w:trHeight w:val="525"/>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2B82F73"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Colecciones, Obras de Arte y Objetos Valiosos</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3F00FC7C"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56,553,973</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23E2F33F"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52,363,973</w:t>
            </w:r>
          </w:p>
        </w:tc>
      </w:tr>
      <w:tr w:rsidR="00926C5C" w:rsidRPr="00192892" w14:paraId="174844C7" w14:textId="77777777" w:rsidTr="00E62671">
        <w:trPr>
          <w:trHeight w:val="315"/>
        </w:trPr>
        <w:tc>
          <w:tcPr>
            <w:tcW w:w="5155"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4493EF42"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Activos Biológicos</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7A4E8559"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184,000</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315EA763"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30,000</w:t>
            </w:r>
          </w:p>
        </w:tc>
      </w:tr>
      <w:tr w:rsidR="00926C5C" w:rsidRPr="00192892" w14:paraId="32F7FC65"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4A834887"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vAlign w:val="center"/>
            <w:hideMark/>
          </w:tcPr>
          <w:p w14:paraId="298252C3"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2,473,121,460</w:t>
            </w:r>
          </w:p>
        </w:tc>
        <w:tc>
          <w:tcPr>
            <w:tcW w:w="1843" w:type="dxa"/>
            <w:tcBorders>
              <w:top w:val="nil"/>
              <w:left w:val="nil"/>
              <w:bottom w:val="single" w:sz="8" w:space="0" w:color="auto"/>
              <w:right w:val="single" w:sz="8" w:space="0" w:color="auto"/>
            </w:tcBorders>
            <w:shd w:val="clear" w:color="000000" w:fill="FFFFFF"/>
            <w:vAlign w:val="center"/>
            <w:hideMark/>
          </w:tcPr>
          <w:p w14:paraId="07ADD604"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2,436,279,798</w:t>
            </w:r>
          </w:p>
        </w:tc>
      </w:tr>
    </w:tbl>
    <w:p w14:paraId="36DC98F4" w14:textId="77777777" w:rsidR="00926C5C" w:rsidRPr="00192892" w:rsidRDefault="00926C5C" w:rsidP="00926C5C">
      <w:pPr>
        <w:jc w:val="both"/>
        <w:rPr>
          <w:rFonts w:ascii="Montserrat" w:hAnsi="Montserrat"/>
          <w:b/>
          <w:sz w:val="22"/>
          <w:szCs w:val="22"/>
        </w:rPr>
      </w:pPr>
    </w:p>
    <w:p w14:paraId="47E49AFD" w14:textId="77777777" w:rsidR="00926C5C" w:rsidRPr="00192892" w:rsidRDefault="00926C5C" w:rsidP="00926C5C">
      <w:pPr>
        <w:jc w:val="both"/>
        <w:rPr>
          <w:rFonts w:ascii="Montserrat" w:hAnsi="Montserrat"/>
          <w:b/>
          <w:sz w:val="22"/>
          <w:szCs w:val="22"/>
        </w:rPr>
      </w:pPr>
      <w:r w:rsidRPr="00192892">
        <w:rPr>
          <w:rFonts w:ascii="Montserrat" w:hAnsi="Montserrat"/>
          <w:b/>
          <w:sz w:val="22"/>
          <w:szCs w:val="22"/>
        </w:rPr>
        <w:t>Activos Intangibles.</w:t>
      </w:r>
    </w:p>
    <w:p w14:paraId="281AA74A" w14:textId="77777777" w:rsidR="00926C5C" w:rsidRPr="00192892" w:rsidRDefault="00926C5C" w:rsidP="00926C5C">
      <w:pPr>
        <w:jc w:val="both"/>
        <w:rPr>
          <w:rFonts w:ascii="Montserrat" w:hAnsi="Montserrat"/>
          <w:b/>
          <w:sz w:val="22"/>
          <w:szCs w:val="22"/>
        </w:rPr>
      </w:pPr>
    </w:p>
    <w:p w14:paraId="21909162"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El saldo de este rubro representa el valor de los bienes intangibles propiedad del Poder Ejecutivo por concepto de software y licencias por el uso de los derechos.</w:t>
      </w:r>
    </w:p>
    <w:p w14:paraId="42262BBA" w14:textId="77777777" w:rsidR="00926C5C" w:rsidRPr="00192892" w:rsidRDefault="00926C5C" w:rsidP="00926C5C">
      <w:pPr>
        <w:pBdr>
          <w:top w:val="nil"/>
          <w:left w:val="nil"/>
          <w:bottom w:val="nil"/>
          <w:right w:val="nil"/>
          <w:between w:val="nil"/>
        </w:pBdr>
        <w:jc w:val="both"/>
        <w:rPr>
          <w:rFonts w:ascii="Montserrat" w:hAnsi="Montserrat"/>
          <w:sz w:val="22"/>
          <w:szCs w:val="22"/>
        </w:rPr>
      </w:pPr>
    </w:p>
    <w:p w14:paraId="4D685137"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El saldo de estos activos se integra al cierre del periodo enero-septiembre de 2024 y 2023, de:</w:t>
      </w:r>
    </w:p>
    <w:p w14:paraId="3600923C"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41E7D345" w14:textId="77777777" w:rsidTr="00E62671">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EF6C6D0"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6C35EA2F"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6B65F7FF"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025911A0" w14:textId="77777777" w:rsidTr="00E62671">
        <w:trPr>
          <w:trHeight w:val="300"/>
        </w:trPr>
        <w:tc>
          <w:tcPr>
            <w:tcW w:w="515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5A0CB9D"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Software</w:t>
            </w:r>
          </w:p>
        </w:tc>
        <w:tc>
          <w:tcPr>
            <w:tcW w:w="1843" w:type="dxa"/>
            <w:tcBorders>
              <w:top w:val="single" w:sz="8" w:space="0" w:color="auto"/>
              <w:left w:val="nil"/>
              <w:bottom w:val="single" w:sz="4" w:space="0" w:color="auto"/>
              <w:right w:val="single" w:sz="8" w:space="0" w:color="auto"/>
            </w:tcBorders>
            <w:shd w:val="clear" w:color="000000" w:fill="FFFFFF"/>
            <w:vAlign w:val="center"/>
            <w:hideMark/>
          </w:tcPr>
          <w:p w14:paraId="34B0462A"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174,980,027</w:t>
            </w:r>
          </w:p>
        </w:tc>
        <w:tc>
          <w:tcPr>
            <w:tcW w:w="1843" w:type="dxa"/>
            <w:tcBorders>
              <w:top w:val="single" w:sz="8" w:space="0" w:color="auto"/>
              <w:left w:val="nil"/>
              <w:bottom w:val="single" w:sz="4" w:space="0" w:color="auto"/>
              <w:right w:val="single" w:sz="8" w:space="0" w:color="auto"/>
            </w:tcBorders>
            <w:shd w:val="clear" w:color="000000" w:fill="FFFFFF"/>
            <w:vAlign w:val="center"/>
            <w:hideMark/>
          </w:tcPr>
          <w:p w14:paraId="6980841C"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140,655,399</w:t>
            </w:r>
          </w:p>
        </w:tc>
      </w:tr>
      <w:tr w:rsidR="00926C5C" w:rsidRPr="00192892" w14:paraId="3CF6B229" w14:textId="77777777" w:rsidTr="00E62671">
        <w:trPr>
          <w:trHeight w:val="30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E05C65F"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Patentes, Marcas Y Derechos</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2E97FA8A"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1,442,309</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17734A51"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1,417,646</w:t>
            </w:r>
          </w:p>
        </w:tc>
      </w:tr>
      <w:tr w:rsidR="00926C5C" w:rsidRPr="00192892" w14:paraId="0DFA7D15" w14:textId="77777777" w:rsidTr="00E62671">
        <w:trPr>
          <w:trHeight w:val="315"/>
        </w:trPr>
        <w:tc>
          <w:tcPr>
            <w:tcW w:w="5155"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F1D933A"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Licencias</w:t>
            </w: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0CA60B17"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48,011,700</w:t>
            </w: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59041DDD"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29,755,213</w:t>
            </w:r>
          </w:p>
        </w:tc>
      </w:tr>
      <w:tr w:rsidR="00926C5C" w:rsidRPr="00192892" w14:paraId="21DE2C0D"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5D9D4147"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74DE38E6"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224,434,036</w:t>
            </w:r>
          </w:p>
        </w:tc>
        <w:tc>
          <w:tcPr>
            <w:tcW w:w="1843" w:type="dxa"/>
            <w:tcBorders>
              <w:top w:val="nil"/>
              <w:left w:val="nil"/>
              <w:bottom w:val="single" w:sz="8" w:space="0" w:color="auto"/>
              <w:right w:val="single" w:sz="8" w:space="0" w:color="auto"/>
            </w:tcBorders>
            <w:shd w:val="clear" w:color="000000" w:fill="FFFFFF"/>
            <w:noWrap/>
            <w:vAlign w:val="center"/>
            <w:hideMark/>
          </w:tcPr>
          <w:p w14:paraId="0C39D647"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171,828,258</w:t>
            </w:r>
          </w:p>
        </w:tc>
      </w:tr>
    </w:tbl>
    <w:p w14:paraId="634CA26C" w14:textId="77777777" w:rsidR="00926C5C" w:rsidRPr="00192892" w:rsidRDefault="00926C5C" w:rsidP="00926C5C">
      <w:pPr>
        <w:rPr>
          <w:rFonts w:ascii="Montserrat" w:hAnsi="Montserrat"/>
          <w:b/>
          <w:sz w:val="22"/>
          <w:szCs w:val="22"/>
        </w:rPr>
      </w:pPr>
    </w:p>
    <w:p w14:paraId="1CBFE2DD" w14:textId="77777777" w:rsidR="00E62671" w:rsidRDefault="00E62671" w:rsidP="00926C5C">
      <w:pPr>
        <w:rPr>
          <w:rFonts w:ascii="Montserrat" w:hAnsi="Montserrat"/>
          <w:b/>
          <w:sz w:val="22"/>
          <w:szCs w:val="22"/>
        </w:rPr>
      </w:pPr>
      <w:bookmarkStart w:id="12" w:name="_Hlk157391051"/>
    </w:p>
    <w:p w14:paraId="2373FCB6" w14:textId="77777777" w:rsidR="00E62671" w:rsidRDefault="00E62671" w:rsidP="00926C5C">
      <w:pPr>
        <w:rPr>
          <w:rFonts w:ascii="Montserrat" w:hAnsi="Montserrat"/>
          <w:b/>
          <w:sz w:val="22"/>
          <w:szCs w:val="22"/>
        </w:rPr>
      </w:pPr>
    </w:p>
    <w:p w14:paraId="0DFFEFD1" w14:textId="086EF32F" w:rsidR="00926C5C" w:rsidRPr="00192892" w:rsidRDefault="00926C5C" w:rsidP="00926C5C">
      <w:pPr>
        <w:rPr>
          <w:rFonts w:ascii="Montserrat" w:hAnsi="Montserrat"/>
          <w:b/>
          <w:sz w:val="22"/>
          <w:szCs w:val="22"/>
        </w:rPr>
      </w:pPr>
      <w:r w:rsidRPr="00192892">
        <w:rPr>
          <w:rFonts w:ascii="Montserrat" w:hAnsi="Montserrat"/>
          <w:b/>
          <w:sz w:val="22"/>
          <w:szCs w:val="22"/>
        </w:rPr>
        <w:lastRenderedPageBreak/>
        <w:t>Nota 10.- Estimaciones y Deterioros</w:t>
      </w:r>
    </w:p>
    <w:p w14:paraId="2E9FCB97" w14:textId="77777777" w:rsidR="00926C5C" w:rsidRPr="00192892" w:rsidRDefault="00926C5C" w:rsidP="00926C5C">
      <w:pPr>
        <w:rPr>
          <w:rFonts w:ascii="Montserrat" w:hAnsi="Montserrat"/>
          <w:b/>
          <w:sz w:val="22"/>
          <w:szCs w:val="22"/>
        </w:rPr>
      </w:pPr>
    </w:p>
    <w:p w14:paraId="43522F34"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El saldo de este rubro representa el valor de depreciación y amortización acumulada de los bienes muebles e intangibles propiedad de </w:t>
      </w:r>
      <w:r w:rsidRPr="00192892">
        <w:rPr>
          <w:rFonts w:ascii="Montserrat" w:hAnsi="Montserrat"/>
          <w:sz w:val="22"/>
          <w:szCs w:val="22"/>
        </w:rPr>
        <w:t>las dependencias del Poder Ejecutivo</w:t>
      </w:r>
      <w:r w:rsidRPr="00192892">
        <w:rPr>
          <w:rFonts w:ascii="Montserrat" w:hAnsi="Montserrat"/>
          <w:color w:val="000000"/>
          <w:sz w:val="22"/>
          <w:szCs w:val="22"/>
        </w:rPr>
        <w:t>.</w:t>
      </w:r>
    </w:p>
    <w:p w14:paraId="42E9C571"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p>
    <w:p w14:paraId="1D485AF1" w14:textId="77777777" w:rsidR="00926C5C" w:rsidRPr="00192892" w:rsidRDefault="00926C5C" w:rsidP="00926C5C">
      <w:pPr>
        <w:tabs>
          <w:tab w:val="left" w:pos="7260"/>
        </w:tabs>
        <w:jc w:val="both"/>
        <w:rPr>
          <w:rFonts w:ascii="Montserrat" w:eastAsia="Times New Roman" w:hAnsi="Montserrat" w:cs="Arial"/>
          <w:sz w:val="22"/>
          <w:szCs w:val="22"/>
        </w:rPr>
      </w:pPr>
      <w:r w:rsidRPr="00192892">
        <w:rPr>
          <w:rFonts w:ascii="Montserrat" w:eastAsia="Times New Roman" w:hAnsi="Montserrat" w:cs="Arial"/>
          <w:sz w:val="22"/>
          <w:szCs w:val="22"/>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BD58FB0" w14:textId="77777777" w:rsidR="00926C5C" w:rsidRPr="00192892" w:rsidRDefault="00926C5C" w:rsidP="00926C5C">
      <w:pPr>
        <w:widowControl w:val="0"/>
        <w:jc w:val="both"/>
        <w:rPr>
          <w:rFonts w:ascii="Montserrat" w:hAnsi="Montserrat"/>
          <w:sz w:val="22"/>
          <w:szCs w:val="22"/>
        </w:rPr>
      </w:pPr>
    </w:p>
    <w:p w14:paraId="4AF63F5C"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Los saldos de la cuenta de este rubro Al 30 de septiembre de 2024 y 2023, asciende a:</w:t>
      </w:r>
    </w:p>
    <w:p w14:paraId="63E97FF7"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p>
    <w:p w14:paraId="0FDF14E1" w14:textId="77777777" w:rsidR="00926C5C" w:rsidRPr="00192892" w:rsidRDefault="00926C5C" w:rsidP="00926C5C">
      <w:pPr>
        <w:pBdr>
          <w:top w:val="nil"/>
          <w:left w:val="nil"/>
          <w:bottom w:val="nil"/>
          <w:right w:val="nil"/>
          <w:between w:val="nil"/>
        </w:pBdr>
        <w:jc w:val="center"/>
        <w:rPr>
          <w:rFonts w:ascii="Montserrat" w:hAnsi="Montserrat"/>
          <w:b/>
          <w:color w:val="000000"/>
          <w:sz w:val="22"/>
          <w:szCs w:val="22"/>
        </w:rPr>
      </w:pPr>
      <w:r w:rsidRPr="00192892">
        <w:rPr>
          <w:rFonts w:ascii="Montserrat" w:hAnsi="Montserrat"/>
          <w:b/>
          <w:color w:val="000000"/>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5E2280F7" w14:textId="77777777" w:rsidTr="00C9363D">
        <w:trPr>
          <w:trHeight w:val="315"/>
        </w:trPr>
        <w:tc>
          <w:tcPr>
            <w:tcW w:w="5155" w:type="dxa"/>
            <w:tcBorders>
              <w:top w:val="single" w:sz="8" w:space="0" w:color="000000"/>
              <w:left w:val="single" w:sz="8" w:space="0" w:color="000000"/>
              <w:bottom w:val="single" w:sz="8" w:space="0" w:color="000000"/>
              <w:right w:val="single" w:sz="8" w:space="0" w:color="000000"/>
            </w:tcBorders>
            <w:shd w:val="clear" w:color="000000" w:fill="808080"/>
            <w:vAlign w:val="center"/>
            <w:hideMark/>
          </w:tcPr>
          <w:p w14:paraId="7C30AFA9"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000000"/>
              <w:left w:val="nil"/>
              <w:bottom w:val="single" w:sz="8" w:space="0" w:color="000000"/>
              <w:right w:val="single" w:sz="8" w:space="0" w:color="000000"/>
            </w:tcBorders>
            <w:shd w:val="clear" w:color="000000" w:fill="808080"/>
            <w:vAlign w:val="center"/>
            <w:hideMark/>
          </w:tcPr>
          <w:p w14:paraId="72CFE1E0"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000000"/>
              <w:left w:val="nil"/>
              <w:bottom w:val="single" w:sz="8" w:space="0" w:color="000000"/>
              <w:right w:val="single" w:sz="8" w:space="0" w:color="000000"/>
            </w:tcBorders>
            <w:shd w:val="clear" w:color="000000" w:fill="808080"/>
            <w:vAlign w:val="center"/>
            <w:hideMark/>
          </w:tcPr>
          <w:p w14:paraId="2C193567"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43824AB2" w14:textId="77777777" w:rsidTr="00C9363D">
        <w:trPr>
          <w:trHeight w:val="645"/>
        </w:trPr>
        <w:tc>
          <w:tcPr>
            <w:tcW w:w="5155" w:type="dxa"/>
            <w:tcBorders>
              <w:top w:val="nil"/>
              <w:left w:val="single" w:sz="8" w:space="0" w:color="000000"/>
              <w:bottom w:val="single" w:sz="8" w:space="0" w:color="auto"/>
              <w:right w:val="single" w:sz="8" w:space="0" w:color="000000"/>
            </w:tcBorders>
            <w:shd w:val="clear" w:color="000000" w:fill="FFFFFF"/>
            <w:vAlign w:val="center"/>
            <w:hideMark/>
          </w:tcPr>
          <w:p w14:paraId="6CBA67AF"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Depreciación, Deterioro y Amortización Acumulada de Bienes</w:t>
            </w:r>
          </w:p>
        </w:tc>
        <w:tc>
          <w:tcPr>
            <w:tcW w:w="1843" w:type="dxa"/>
            <w:tcBorders>
              <w:top w:val="nil"/>
              <w:left w:val="nil"/>
              <w:bottom w:val="single" w:sz="8" w:space="0" w:color="auto"/>
              <w:right w:val="single" w:sz="8" w:space="0" w:color="000000"/>
            </w:tcBorders>
            <w:shd w:val="clear" w:color="000000" w:fill="FFFFFF"/>
            <w:vAlign w:val="center"/>
            <w:hideMark/>
          </w:tcPr>
          <w:p w14:paraId="46288A4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-1,690,620,548</w:t>
            </w:r>
          </w:p>
        </w:tc>
        <w:tc>
          <w:tcPr>
            <w:tcW w:w="1843" w:type="dxa"/>
            <w:tcBorders>
              <w:top w:val="nil"/>
              <w:left w:val="nil"/>
              <w:bottom w:val="single" w:sz="8" w:space="0" w:color="auto"/>
              <w:right w:val="single" w:sz="8" w:space="0" w:color="000000"/>
            </w:tcBorders>
            <w:shd w:val="clear" w:color="000000" w:fill="FFFFFF"/>
            <w:vAlign w:val="center"/>
            <w:hideMark/>
          </w:tcPr>
          <w:p w14:paraId="1C4CA5D3"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-1,490,001,896</w:t>
            </w:r>
          </w:p>
        </w:tc>
      </w:tr>
      <w:tr w:rsidR="00926C5C" w:rsidRPr="00192892" w14:paraId="50CA1BA6" w14:textId="77777777" w:rsidTr="00C9363D">
        <w:trPr>
          <w:trHeight w:val="330"/>
        </w:trPr>
        <w:tc>
          <w:tcPr>
            <w:tcW w:w="5155" w:type="dxa"/>
            <w:tcBorders>
              <w:top w:val="nil"/>
              <w:left w:val="single" w:sz="8" w:space="0" w:color="000000"/>
              <w:bottom w:val="single" w:sz="8" w:space="0" w:color="000000"/>
              <w:right w:val="single" w:sz="8" w:space="0" w:color="000000"/>
            </w:tcBorders>
            <w:shd w:val="clear" w:color="000000" w:fill="FFFFFF"/>
            <w:vAlign w:val="center"/>
            <w:hideMark/>
          </w:tcPr>
          <w:p w14:paraId="78786D98"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Suma</w:t>
            </w:r>
          </w:p>
        </w:tc>
        <w:tc>
          <w:tcPr>
            <w:tcW w:w="1843" w:type="dxa"/>
            <w:tcBorders>
              <w:top w:val="nil"/>
              <w:left w:val="nil"/>
              <w:bottom w:val="single" w:sz="8" w:space="0" w:color="000000"/>
              <w:right w:val="single" w:sz="8" w:space="0" w:color="000000"/>
            </w:tcBorders>
            <w:shd w:val="clear" w:color="000000" w:fill="FFFFFF"/>
            <w:vAlign w:val="center"/>
            <w:hideMark/>
          </w:tcPr>
          <w:p w14:paraId="3F1165BE"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-1,690,620,548</w:t>
            </w:r>
          </w:p>
        </w:tc>
        <w:tc>
          <w:tcPr>
            <w:tcW w:w="1843" w:type="dxa"/>
            <w:tcBorders>
              <w:top w:val="nil"/>
              <w:left w:val="nil"/>
              <w:bottom w:val="single" w:sz="8" w:space="0" w:color="000000"/>
              <w:right w:val="single" w:sz="8" w:space="0" w:color="000000"/>
            </w:tcBorders>
            <w:shd w:val="clear" w:color="000000" w:fill="FFFFFF"/>
            <w:vAlign w:val="center"/>
            <w:hideMark/>
          </w:tcPr>
          <w:p w14:paraId="1978F7E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-1,490,001,896</w:t>
            </w:r>
          </w:p>
        </w:tc>
      </w:tr>
    </w:tbl>
    <w:p w14:paraId="74938FE2" w14:textId="77777777" w:rsidR="00926C5C" w:rsidRPr="00192892" w:rsidRDefault="00926C5C" w:rsidP="00926C5C">
      <w:pPr>
        <w:rPr>
          <w:rFonts w:ascii="Montserrat" w:hAnsi="Montserrat"/>
          <w:b/>
          <w:sz w:val="22"/>
          <w:szCs w:val="22"/>
        </w:rPr>
      </w:pPr>
    </w:p>
    <w:p w14:paraId="5C03D679" w14:textId="77777777" w:rsidR="00926C5C" w:rsidRPr="00192892" w:rsidRDefault="00926C5C" w:rsidP="00926C5C">
      <w:pPr>
        <w:rPr>
          <w:rFonts w:ascii="Montserrat" w:hAnsi="Montserrat"/>
          <w:b/>
          <w:sz w:val="22"/>
          <w:szCs w:val="22"/>
        </w:rPr>
      </w:pPr>
      <w:r w:rsidRPr="00192892">
        <w:rPr>
          <w:rFonts w:ascii="Montserrat" w:hAnsi="Montserrat"/>
          <w:b/>
          <w:sz w:val="22"/>
          <w:szCs w:val="22"/>
        </w:rPr>
        <w:t xml:space="preserve">Nota 11.- Otros Activos </w:t>
      </w:r>
    </w:p>
    <w:p w14:paraId="1A47C616" w14:textId="77777777" w:rsidR="00926C5C" w:rsidRPr="00192892" w:rsidRDefault="00926C5C" w:rsidP="00926C5C">
      <w:pPr>
        <w:rPr>
          <w:rFonts w:ascii="Montserrat" w:hAnsi="Montserrat"/>
          <w:sz w:val="22"/>
          <w:szCs w:val="22"/>
        </w:rPr>
      </w:pPr>
    </w:p>
    <w:p w14:paraId="4E870392" w14:textId="77777777" w:rsidR="00926C5C" w:rsidRPr="00192892" w:rsidRDefault="00926C5C" w:rsidP="00926C5C">
      <w:pPr>
        <w:rPr>
          <w:rFonts w:ascii="Montserrat" w:hAnsi="Montserrat"/>
          <w:sz w:val="22"/>
          <w:szCs w:val="22"/>
        </w:rPr>
      </w:pPr>
      <w:r w:rsidRPr="00192892">
        <w:rPr>
          <w:rFonts w:ascii="Montserrat" w:hAnsi="Montserrat"/>
          <w:sz w:val="22"/>
          <w:szCs w:val="22"/>
        </w:rPr>
        <w:t>Este rubro no refleja saldo en el tercer informe trimestral del ejercicio 2024 y 2023.</w:t>
      </w:r>
    </w:p>
    <w:bookmarkEnd w:id="12"/>
    <w:p w14:paraId="2CA0E01E" w14:textId="77777777" w:rsidR="00926C5C" w:rsidRPr="00192892" w:rsidRDefault="00926C5C" w:rsidP="00926C5C">
      <w:pPr>
        <w:keepNext/>
        <w:keepLines/>
        <w:rPr>
          <w:rFonts w:ascii="Montserrat" w:hAnsi="Montserrat"/>
          <w:b/>
          <w:sz w:val="22"/>
          <w:szCs w:val="22"/>
        </w:rPr>
      </w:pPr>
    </w:p>
    <w:p w14:paraId="32C29DD7" w14:textId="77777777" w:rsidR="00926C5C" w:rsidRPr="00192892" w:rsidRDefault="00926C5C" w:rsidP="00926C5C">
      <w:pPr>
        <w:keepNext/>
        <w:keepLines/>
        <w:rPr>
          <w:rFonts w:ascii="Montserrat" w:hAnsi="Montserrat"/>
          <w:b/>
          <w:sz w:val="22"/>
          <w:szCs w:val="22"/>
        </w:rPr>
      </w:pPr>
      <w:r w:rsidRPr="00192892">
        <w:rPr>
          <w:rFonts w:ascii="Montserrat" w:hAnsi="Montserrat"/>
          <w:b/>
          <w:sz w:val="22"/>
          <w:szCs w:val="22"/>
        </w:rPr>
        <w:t xml:space="preserve">Pasivo </w:t>
      </w:r>
    </w:p>
    <w:p w14:paraId="6F2E0AC2" w14:textId="77777777" w:rsidR="00926C5C" w:rsidRPr="00192892" w:rsidRDefault="00926C5C" w:rsidP="00926C5C">
      <w:pPr>
        <w:jc w:val="both"/>
        <w:rPr>
          <w:rFonts w:ascii="Montserrat" w:hAnsi="Montserrat"/>
          <w:sz w:val="22"/>
          <w:szCs w:val="22"/>
        </w:rPr>
      </w:pPr>
    </w:p>
    <w:p w14:paraId="545FA385"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Es el conjunto de cuentas que permite el registro de las obligaciones contraídas por el Poder Ejecutivo, para el desarrollo de sus funciones y la prestación de los servicios públicos. Al cierre del periodo enero-septiembre de 2024,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741106A5" w14:textId="77777777" w:rsidR="00926C5C" w:rsidRPr="00192892" w:rsidRDefault="00926C5C" w:rsidP="00926C5C">
      <w:pPr>
        <w:rPr>
          <w:rFonts w:ascii="Montserrat" w:hAnsi="Montserrat"/>
          <w:b/>
          <w:sz w:val="22"/>
          <w:szCs w:val="22"/>
        </w:rPr>
      </w:pPr>
    </w:p>
    <w:p w14:paraId="4C38E645" w14:textId="77777777" w:rsidR="00926C5C" w:rsidRPr="00192892" w:rsidRDefault="00926C5C" w:rsidP="00C9363D">
      <w:pPr>
        <w:keepNext/>
        <w:rPr>
          <w:rFonts w:ascii="Montserrat" w:hAnsi="Montserrat"/>
          <w:b/>
          <w:sz w:val="22"/>
          <w:szCs w:val="22"/>
        </w:rPr>
      </w:pPr>
      <w:bookmarkStart w:id="13" w:name="_Hlk157391221"/>
      <w:r w:rsidRPr="00192892">
        <w:rPr>
          <w:rFonts w:ascii="Montserrat" w:hAnsi="Montserrat"/>
          <w:b/>
          <w:sz w:val="22"/>
          <w:szCs w:val="22"/>
        </w:rPr>
        <w:lastRenderedPageBreak/>
        <w:t>Nota 12.-Cuentas por Pagar a Corto Plazo.</w:t>
      </w:r>
      <w:bookmarkEnd w:id="13"/>
    </w:p>
    <w:p w14:paraId="3DE6C87F" w14:textId="77777777" w:rsidR="00926C5C" w:rsidRPr="00192892" w:rsidRDefault="00926C5C" w:rsidP="00C9363D">
      <w:pPr>
        <w:keepNext/>
        <w:rPr>
          <w:rFonts w:ascii="Montserrat" w:hAnsi="Montserrat"/>
          <w:b/>
          <w:sz w:val="22"/>
          <w:szCs w:val="22"/>
        </w:rPr>
      </w:pPr>
    </w:p>
    <w:p w14:paraId="59A68B66"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653EAB08" w14:textId="77777777" w:rsidR="00926C5C" w:rsidRPr="00192892" w:rsidRDefault="00926C5C" w:rsidP="00926C5C">
      <w:pPr>
        <w:pBdr>
          <w:top w:val="nil"/>
          <w:left w:val="nil"/>
          <w:bottom w:val="nil"/>
          <w:right w:val="nil"/>
          <w:between w:val="nil"/>
        </w:pBdr>
        <w:jc w:val="both"/>
        <w:rPr>
          <w:rFonts w:ascii="Montserrat" w:hAnsi="Montserrat"/>
          <w:sz w:val="22"/>
          <w:szCs w:val="22"/>
        </w:rPr>
      </w:pPr>
    </w:p>
    <w:p w14:paraId="30345016"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Los saldos de las cuentas que integran este rubro al cierre del periodo enero-septiembre de 2024 y 2023, se desglosan de la siguiente manera:</w:t>
      </w:r>
    </w:p>
    <w:p w14:paraId="61F13155" w14:textId="77777777" w:rsidR="00926C5C" w:rsidRPr="00192892" w:rsidRDefault="00926C5C" w:rsidP="00926C5C">
      <w:pPr>
        <w:rPr>
          <w:rFonts w:ascii="Montserrat" w:hAnsi="Montserrat"/>
          <w:sz w:val="22"/>
          <w:szCs w:val="22"/>
        </w:rPr>
      </w:pPr>
    </w:p>
    <w:p w14:paraId="7CFE85CF" w14:textId="77777777" w:rsidR="00926C5C" w:rsidRPr="00192892" w:rsidRDefault="00926C5C" w:rsidP="00926C5C">
      <w:pPr>
        <w:pBdr>
          <w:top w:val="nil"/>
          <w:left w:val="nil"/>
          <w:bottom w:val="nil"/>
          <w:right w:val="nil"/>
          <w:between w:val="nil"/>
        </w:pBdr>
        <w:jc w:val="center"/>
        <w:rPr>
          <w:rFonts w:ascii="Montserrat" w:hAnsi="Montserrat"/>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4F47F2B3" w14:textId="77777777" w:rsidTr="00E62671">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B6040AC"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469DE4AB"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325A5A53"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6953E94F" w14:textId="77777777" w:rsidTr="00E62671">
        <w:trPr>
          <w:trHeight w:val="525"/>
        </w:trPr>
        <w:tc>
          <w:tcPr>
            <w:tcW w:w="515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1636A0FC"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Servicios Personales Por Pagar a Corto Plazo</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14:paraId="48CAA2DC"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47,749,107</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14:paraId="20D6BE6C"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50,946,990</w:t>
            </w:r>
          </w:p>
        </w:tc>
      </w:tr>
      <w:tr w:rsidR="00926C5C" w:rsidRPr="00192892" w14:paraId="173D403D" w14:textId="77777777" w:rsidTr="00E62671">
        <w:trPr>
          <w:trHeight w:val="45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32A5EC1"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Proveedores Por Pagar a Corto Plazo</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1B81F0E6"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309,880,174</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630378C6"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257,629,596</w:t>
            </w:r>
          </w:p>
        </w:tc>
      </w:tr>
      <w:tr w:rsidR="00926C5C" w:rsidRPr="00192892" w14:paraId="2C56DD45" w14:textId="77777777" w:rsidTr="00E62671">
        <w:trPr>
          <w:trHeight w:val="600"/>
        </w:trPr>
        <w:tc>
          <w:tcPr>
            <w:tcW w:w="5155"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3D624C0"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Contratistas Por Obras Públicas Por Pagar a Corto Plazo</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694CA341"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227,154,131</w:t>
            </w:r>
          </w:p>
        </w:tc>
        <w:tc>
          <w:tcPr>
            <w:tcW w:w="1843" w:type="dxa"/>
            <w:tcBorders>
              <w:top w:val="single" w:sz="4" w:space="0" w:color="auto"/>
              <w:left w:val="nil"/>
              <w:bottom w:val="single" w:sz="4" w:space="0" w:color="auto"/>
              <w:right w:val="single" w:sz="8" w:space="0" w:color="auto"/>
            </w:tcBorders>
            <w:shd w:val="clear" w:color="000000" w:fill="FFFFFF"/>
            <w:vAlign w:val="center"/>
            <w:hideMark/>
          </w:tcPr>
          <w:p w14:paraId="3C1FD5B9"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99,625,457</w:t>
            </w:r>
          </w:p>
        </w:tc>
      </w:tr>
      <w:tr w:rsidR="00926C5C" w:rsidRPr="00192892" w14:paraId="1802A053" w14:textId="77777777" w:rsidTr="00E62671">
        <w:trPr>
          <w:trHeight w:val="600"/>
        </w:trPr>
        <w:tc>
          <w:tcPr>
            <w:tcW w:w="5155"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1B736959"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Transferencias Otorgadas Por Pagar a Corto Plazo</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359D4789"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39,121,046</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6DCE2231"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130,039,424</w:t>
            </w:r>
          </w:p>
        </w:tc>
      </w:tr>
      <w:tr w:rsidR="00926C5C" w:rsidRPr="00192892" w14:paraId="0FCBCDA3" w14:textId="77777777" w:rsidTr="00E62671">
        <w:trPr>
          <w:trHeight w:val="600"/>
        </w:trPr>
        <w:tc>
          <w:tcPr>
            <w:tcW w:w="5155"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37CD40A2"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Retenciones y Contribuciones Por Pagar a Corto Plazo</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58354E55"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706,854,593</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100AF7A9"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549,891,345</w:t>
            </w:r>
          </w:p>
        </w:tc>
      </w:tr>
      <w:tr w:rsidR="00926C5C" w:rsidRPr="00192892" w14:paraId="24B263B1" w14:textId="77777777" w:rsidTr="00E62671">
        <w:trPr>
          <w:trHeight w:val="450"/>
        </w:trPr>
        <w:tc>
          <w:tcPr>
            <w:tcW w:w="5155"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89CA562"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Otras Cuentas Por Pagar a Corto Plazo</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4C8158CC"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3,021,208,753</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19386CCB"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3,018,020,621</w:t>
            </w:r>
          </w:p>
        </w:tc>
      </w:tr>
      <w:tr w:rsidR="00926C5C" w:rsidRPr="00192892" w14:paraId="2143C7EF"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6AA73CC3"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2CD2FF46"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4,351,967,803</w:t>
            </w:r>
          </w:p>
        </w:tc>
        <w:tc>
          <w:tcPr>
            <w:tcW w:w="1843" w:type="dxa"/>
            <w:tcBorders>
              <w:top w:val="nil"/>
              <w:left w:val="nil"/>
              <w:bottom w:val="single" w:sz="8" w:space="0" w:color="auto"/>
              <w:right w:val="single" w:sz="8" w:space="0" w:color="auto"/>
            </w:tcBorders>
            <w:shd w:val="clear" w:color="000000" w:fill="FFFFFF"/>
            <w:noWrap/>
            <w:vAlign w:val="center"/>
            <w:hideMark/>
          </w:tcPr>
          <w:p w14:paraId="3597F2A1"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4,106,153,433</w:t>
            </w:r>
          </w:p>
        </w:tc>
      </w:tr>
    </w:tbl>
    <w:p w14:paraId="4059CD34" w14:textId="77777777" w:rsidR="00926C5C" w:rsidRPr="00192892" w:rsidRDefault="00926C5C" w:rsidP="00926C5C">
      <w:pPr>
        <w:jc w:val="both"/>
        <w:rPr>
          <w:rFonts w:ascii="Montserrat" w:hAnsi="Montserrat"/>
          <w:b/>
          <w:sz w:val="22"/>
          <w:szCs w:val="22"/>
        </w:rPr>
      </w:pPr>
    </w:p>
    <w:p w14:paraId="5E00AA6D" w14:textId="77777777" w:rsidR="00926C5C" w:rsidRPr="00192892" w:rsidRDefault="00926C5C" w:rsidP="00926C5C">
      <w:pPr>
        <w:jc w:val="both"/>
        <w:rPr>
          <w:rFonts w:ascii="Montserrat" w:hAnsi="Montserrat"/>
          <w:sz w:val="22"/>
          <w:szCs w:val="22"/>
        </w:rPr>
      </w:pPr>
      <w:r w:rsidRPr="00192892">
        <w:rPr>
          <w:rFonts w:ascii="Montserrat" w:hAnsi="Montserrat"/>
          <w:b/>
          <w:sz w:val="22"/>
          <w:szCs w:val="22"/>
        </w:rPr>
        <w:t>Nota 13.- Porción a Corto Plazo de la Deuda Pública a Largo Plazo.</w:t>
      </w:r>
    </w:p>
    <w:p w14:paraId="5A96F93A" w14:textId="77777777" w:rsidR="00926C5C" w:rsidRPr="00192892" w:rsidRDefault="00926C5C" w:rsidP="00926C5C">
      <w:pPr>
        <w:jc w:val="both"/>
        <w:rPr>
          <w:rFonts w:ascii="Montserrat" w:hAnsi="Montserrat"/>
          <w:sz w:val="22"/>
          <w:szCs w:val="22"/>
        </w:rPr>
      </w:pPr>
    </w:p>
    <w:p w14:paraId="05C2D272"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Al cierre del periodo enero-septiembre de 2024 y 2023, la provisión de porción a corto plazo de la Deuda Pública corresponde al Poder Ejecutivo, como se muestra a continuación:</w:t>
      </w:r>
    </w:p>
    <w:p w14:paraId="1E1007F4"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p>
    <w:p w14:paraId="680DD961" w14:textId="77777777" w:rsidR="00926C5C" w:rsidRPr="00192892" w:rsidRDefault="00926C5C" w:rsidP="00926C5C">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70C8797B" w14:textId="77777777" w:rsidTr="00C9363D">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65951DA" w14:textId="77777777" w:rsidR="00926C5C" w:rsidRPr="004B3002" w:rsidRDefault="00926C5C" w:rsidP="00FA0078">
            <w:pPr>
              <w:jc w:val="center"/>
              <w:rPr>
                <w:rFonts w:ascii="Montserrat" w:eastAsia="Times New Roman" w:hAnsi="Montserrat" w:cs="Calibri"/>
                <w:b/>
                <w:bCs/>
                <w:sz w:val="22"/>
                <w:szCs w:val="22"/>
                <w:lang w:val="es-MX"/>
              </w:rPr>
            </w:pPr>
            <w:bookmarkStart w:id="14" w:name="_Hlk157391818"/>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5BA5FC73"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09D2A31E"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31B3404C" w14:textId="77777777" w:rsidTr="00C9363D">
        <w:trPr>
          <w:trHeight w:val="615"/>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55E95DBE"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Porción a Corto Plazo de la Deuda Pública Interna</w:t>
            </w:r>
          </w:p>
        </w:tc>
        <w:tc>
          <w:tcPr>
            <w:tcW w:w="1843" w:type="dxa"/>
            <w:tcBorders>
              <w:top w:val="nil"/>
              <w:left w:val="nil"/>
              <w:bottom w:val="single" w:sz="8" w:space="0" w:color="auto"/>
              <w:right w:val="single" w:sz="8" w:space="0" w:color="auto"/>
            </w:tcBorders>
            <w:shd w:val="clear" w:color="000000" w:fill="FFFFFF"/>
            <w:noWrap/>
            <w:vAlign w:val="center"/>
            <w:hideMark/>
          </w:tcPr>
          <w:p w14:paraId="74BE17D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61,398,050</w:t>
            </w:r>
          </w:p>
        </w:tc>
        <w:tc>
          <w:tcPr>
            <w:tcW w:w="1843" w:type="dxa"/>
            <w:tcBorders>
              <w:top w:val="nil"/>
              <w:left w:val="nil"/>
              <w:bottom w:val="single" w:sz="8" w:space="0" w:color="auto"/>
              <w:right w:val="single" w:sz="8" w:space="0" w:color="auto"/>
            </w:tcBorders>
            <w:shd w:val="clear" w:color="000000" w:fill="FFFFFF"/>
            <w:noWrap/>
            <w:vAlign w:val="center"/>
            <w:hideMark/>
          </w:tcPr>
          <w:p w14:paraId="3BA485F1"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95,268,770</w:t>
            </w:r>
          </w:p>
        </w:tc>
      </w:tr>
      <w:tr w:rsidR="00926C5C" w:rsidRPr="00192892" w14:paraId="2877C87D"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44B683F8"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28F18B33"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61,398,050</w:t>
            </w:r>
          </w:p>
        </w:tc>
        <w:tc>
          <w:tcPr>
            <w:tcW w:w="1843" w:type="dxa"/>
            <w:tcBorders>
              <w:top w:val="nil"/>
              <w:left w:val="nil"/>
              <w:bottom w:val="single" w:sz="8" w:space="0" w:color="auto"/>
              <w:right w:val="single" w:sz="8" w:space="0" w:color="auto"/>
            </w:tcBorders>
            <w:shd w:val="clear" w:color="000000" w:fill="FFFFFF"/>
            <w:noWrap/>
            <w:vAlign w:val="center"/>
            <w:hideMark/>
          </w:tcPr>
          <w:p w14:paraId="5575EFA7"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95,268,770</w:t>
            </w:r>
          </w:p>
        </w:tc>
      </w:tr>
    </w:tbl>
    <w:p w14:paraId="16532FB1" w14:textId="77777777" w:rsidR="00926C5C" w:rsidRPr="00192892" w:rsidRDefault="00926C5C" w:rsidP="00926C5C">
      <w:pPr>
        <w:jc w:val="both"/>
        <w:rPr>
          <w:rFonts w:ascii="Montserrat" w:hAnsi="Montserrat"/>
          <w:b/>
          <w:sz w:val="22"/>
          <w:szCs w:val="22"/>
        </w:rPr>
      </w:pPr>
    </w:p>
    <w:p w14:paraId="10594955" w14:textId="77777777" w:rsidR="00926C5C" w:rsidRPr="00192892" w:rsidRDefault="00926C5C" w:rsidP="00926C5C">
      <w:pPr>
        <w:rPr>
          <w:rFonts w:ascii="Montserrat" w:hAnsi="Montserrat"/>
          <w:b/>
          <w:sz w:val="22"/>
          <w:szCs w:val="22"/>
        </w:rPr>
      </w:pPr>
      <w:r w:rsidRPr="00192892">
        <w:rPr>
          <w:rFonts w:ascii="Montserrat" w:hAnsi="Montserrat"/>
          <w:b/>
          <w:sz w:val="22"/>
          <w:szCs w:val="22"/>
        </w:rPr>
        <w:lastRenderedPageBreak/>
        <w:t>Nota 13.- Fondos y Bienes de Terceros en Garantía y/o Administración</w:t>
      </w:r>
    </w:p>
    <w:p w14:paraId="4C5F05EA" w14:textId="77777777" w:rsidR="00926C5C" w:rsidRPr="00192892" w:rsidRDefault="00926C5C" w:rsidP="00926C5C">
      <w:pPr>
        <w:rPr>
          <w:rFonts w:ascii="Montserrat" w:hAnsi="Montserrat"/>
          <w:b/>
          <w:sz w:val="22"/>
          <w:szCs w:val="22"/>
        </w:rPr>
      </w:pPr>
    </w:p>
    <w:p w14:paraId="7472B926"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En este rubro los entes públicos no reflejan movimientos correspondientes al tercer informe trimestral del ejercicio 2024.</w:t>
      </w:r>
    </w:p>
    <w:p w14:paraId="7035CA28"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p>
    <w:p w14:paraId="5A995B56"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14.- Pasivos Diferidos</w:t>
      </w:r>
    </w:p>
    <w:p w14:paraId="4851E75B" w14:textId="77777777" w:rsidR="00926C5C" w:rsidRPr="00192892" w:rsidRDefault="00926C5C" w:rsidP="00926C5C">
      <w:pPr>
        <w:rPr>
          <w:rFonts w:ascii="Montserrat" w:hAnsi="Montserrat"/>
          <w:b/>
          <w:sz w:val="22"/>
          <w:szCs w:val="22"/>
        </w:rPr>
      </w:pPr>
    </w:p>
    <w:p w14:paraId="0925643B"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En este rubro los entes públicos no reflejan movimientos correspondientes al tercer informe trimestral del ejercicio 2024.</w:t>
      </w:r>
    </w:p>
    <w:p w14:paraId="7A82DA8F" w14:textId="77777777" w:rsidR="00926C5C" w:rsidRPr="00192892" w:rsidRDefault="00926C5C" w:rsidP="00926C5C">
      <w:pPr>
        <w:rPr>
          <w:rFonts w:ascii="Montserrat" w:hAnsi="Montserrat"/>
          <w:b/>
          <w:sz w:val="22"/>
          <w:szCs w:val="22"/>
        </w:rPr>
      </w:pPr>
    </w:p>
    <w:p w14:paraId="0907A9D2"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15.- Provisiones</w:t>
      </w:r>
    </w:p>
    <w:p w14:paraId="060A9929" w14:textId="77777777" w:rsidR="00926C5C" w:rsidRPr="00192892" w:rsidRDefault="00926C5C" w:rsidP="00926C5C">
      <w:pPr>
        <w:rPr>
          <w:rFonts w:ascii="Montserrat" w:hAnsi="Montserrat"/>
          <w:b/>
          <w:sz w:val="22"/>
          <w:szCs w:val="22"/>
        </w:rPr>
      </w:pPr>
    </w:p>
    <w:p w14:paraId="5FA27264"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En este rubro los entes públicos no reflejan movimientos correspondientes al tercer informe trimestral del ejercicio 2024.</w:t>
      </w:r>
    </w:p>
    <w:p w14:paraId="760B3E84" w14:textId="77777777" w:rsidR="00926C5C" w:rsidRPr="00192892" w:rsidRDefault="00926C5C" w:rsidP="00926C5C">
      <w:pPr>
        <w:pBdr>
          <w:top w:val="nil"/>
          <w:left w:val="nil"/>
          <w:bottom w:val="nil"/>
          <w:right w:val="nil"/>
          <w:between w:val="nil"/>
        </w:pBdr>
        <w:jc w:val="both"/>
        <w:rPr>
          <w:rFonts w:ascii="Montserrat" w:hAnsi="Montserrat"/>
          <w:color w:val="000000"/>
          <w:sz w:val="22"/>
          <w:szCs w:val="22"/>
        </w:rPr>
      </w:pPr>
    </w:p>
    <w:p w14:paraId="286A4624" w14:textId="77777777" w:rsidR="00926C5C" w:rsidRPr="00192892" w:rsidRDefault="00926C5C" w:rsidP="00926C5C">
      <w:pPr>
        <w:jc w:val="both"/>
        <w:rPr>
          <w:rFonts w:ascii="Montserrat" w:hAnsi="Montserrat"/>
          <w:b/>
          <w:sz w:val="22"/>
          <w:szCs w:val="22"/>
        </w:rPr>
      </w:pPr>
      <w:r w:rsidRPr="00192892">
        <w:rPr>
          <w:rFonts w:ascii="Montserrat" w:hAnsi="Montserrat"/>
          <w:b/>
          <w:sz w:val="22"/>
          <w:szCs w:val="22"/>
        </w:rPr>
        <w:t>Nota 16.- Otros Pasivos a Corto Plazo.</w:t>
      </w:r>
    </w:p>
    <w:bookmarkEnd w:id="14"/>
    <w:p w14:paraId="1011940B" w14:textId="77777777" w:rsidR="00926C5C" w:rsidRPr="00192892" w:rsidRDefault="00926C5C" w:rsidP="00926C5C">
      <w:pPr>
        <w:jc w:val="both"/>
        <w:rPr>
          <w:rFonts w:ascii="Montserrat" w:hAnsi="Montserrat"/>
          <w:sz w:val="22"/>
          <w:szCs w:val="22"/>
        </w:rPr>
      </w:pPr>
    </w:p>
    <w:p w14:paraId="0D692FFC"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El saldo dentro del Poder Ejecutivo de las cuentas que conforman este rubro del pasivo representa el monto de los adeudos del Estado con terceros institucionales, que deberá pagar en un plazo menor o igual a doce meses.</w:t>
      </w:r>
    </w:p>
    <w:p w14:paraId="17627CB0" w14:textId="77777777" w:rsidR="00926C5C" w:rsidRPr="00192892" w:rsidRDefault="00926C5C" w:rsidP="00926C5C">
      <w:pPr>
        <w:jc w:val="both"/>
        <w:rPr>
          <w:rFonts w:ascii="Montserrat" w:hAnsi="Montserrat"/>
          <w:sz w:val="22"/>
          <w:szCs w:val="22"/>
        </w:rPr>
      </w:pPr>
    </w:p>
    <w:p w14:paraId="385630DF"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Se integra Al 30 de septiembre de 2024 y 2023 de la siguiente forma:</w:t>
      </w:r>
    </w:p>
    <w:p w14:paraId="06D0D9A1" w14:textId="77777777" w:rsidR="00926C5C" w:rsidRPr="00192892" w:rsidRDefault="00926C5C" w:rsidP="00926C5C">
      <w:pPr>
        <w:jc w:val="both"/>
        <w:rPr>
          <w:rFonts w:ascii="Montserrat" w:hAnsi="Montserrat"/>
          <w:sz w:val="22"/>
          <w:szCs w:val="22"/>
        </w:rPr>
      </w:pPr>
    </w:p>
    <w:p w14:paraId="557D69DB" w14:textId="77777777" w:rsidR="00926C5C" w:rsidRPr="00192892" w:rsidRDefault="00926C5C" w:rsidP="00926C5C">
      <w:pPr>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50AD92AE" w14:textId="77777777" w:rsidTr="00FD7686">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752D831"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503C9D47"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406A7F97"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4968FFC7" w14:textId="77777777" w:rsidTr="00FD7686">
        <w:trPr>
          <w:trHeight w:val="300"/>
        </w:trPr>
        <w:tc>
          <w:tcPr>
            <w:tcW w:w="515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DE0FA59"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Ingresos Por Clasificar</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14:paraId="2AF0F9B5"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21,720,015</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14:paraId="79A85244"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 xml:space="preserve">     19,551,487 </w:t>
            </w:r>
          </w:p>
        </w:tc>
      </w:tr>
      <w:tr w:rsidR="00926C5C" w:rsidRPr="00192892" w14:paraId="0BD32D18" w14:textId="77777777" w:rsidTr="00FD7686">
        <w:trPr>
          <w:trHeight w:val="300"/>
        </w:trPr>
        <w:tc>
          <w:tcPr>
            <w:tcW w:w="51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C293F8C"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Recaudación Por Participar</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3577B7ED"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33,375,979</w:t>
            </w:r>
          </w:p>
        </w:tc>
        <w:tc>
          <w:tcPr>
            <w:tcW w:w="1843" w:type="dxa"/>
            <w:tcBorders>
              <w:top w:val="single" w:sz="4" w:space="0" w:color="auto"/>
              <w:left w:val="nil"/>
              <w:bottom w:val="single" w:sz="4" w:space="0" w:color="auto"/>
              <w:right w:val="single" w:sz="8" w:space="0" w:color="auto"/>
            </w:tcBorders>
            <w:shd w:val="clear" w:color="000000" w:fill="FFFFFF"/>
            <w:noWrap/>
            <w:vAlign w:val="center"/>
            <w:hideMark/>
          </w:tcPr>
          <w:p w14:paraId="4CD7BF5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29,372,566</w:t>
            </w:r>
          </w:p>
        </w:tc>
      </w:tr>
      <w:tr w:rsidR="00926C5C" w:rsidRPr="00192892" w14:paraId="2F02A931" w14:textId="77777777" w:rsidTr="00FD7686">
        <w:trPr>
          <w:trHeight w:val="315"/>
        </w:trPr>
        <w:tc>
          <w:tcPr>
            <w:tcW w:w="5155"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F759AB4"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Otros Pasivos Circulantes</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1DBCD2F2"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1,145,607</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6FF54270"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810,407</w:t>
            </w:r>
          </w:p>
        </w:tc>
      </w:tr>
      <w:tr w:rsidR="00926C5C" w:rsidRPr="00192892" w14:paraId="6AFE9745"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142182DD"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64A60564"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56,241,601</w:t>
            </w:r>
          </w:p>
        </w:tc>
        <w:tc>
          <w:tcPr>
            <w:tcW w:w="1843" w:type="dxa"/>
            <w:tcBorders>
              <w:top w:val="nil"/>
              <w:left w:val="nil"/>
              <w:bottom w:val="single" w:sz="8" w:space="0" w:color="auto"/>
              <w:right w:val="single" w:sz="8" w:space="0" w:color="auto"/>
            </w:tcBorders>
            <w:shd w:val="clear" w:color="000000" w:fill="FFFFFF"/>
            <w:noWrap/>
            <w:vAlign w:val="center"/>
            <w:hideMark/>
          </w:tcPr>
          <w:p w14:paraId="5029B481"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49,734,460</w:t>
            </w:r>
          </w:p>
        </w:tc>
      </w:tr>
    </w:tbl>
    <w:p w14:paraId="43FE2D2C" w14:textId="77777777" w:rsidR="00926C5C" w:rsidRPr="00192892" w:rsidRDefault="00926C5C" w:rsidP="00926C5C">
      <w:pPr>
        <w:tabs>
          <w:tab w:val="left" w:pos="2859"/>
        </w:tabs>
        <w:rPr>
          <w:rFonts w:ascii="Montserrat" w:hAnsi="Montserrat"/>
          <w:b/>
          <w:sz w:val="22"/>
          <w:szCs w:val="22"/>
        </w:rPr>
      </w:pPr>
    </w:p>
    <w:p w14:paraId="0917DB9C" w14:textId="77777777" w:rsidR="00926C5C" w:rsidRPr="00192892" w:rsidRDefault="00926C5C" w:rsidP="00926C5C">
      <w:pPr>
        <w:tabs>
          <w:tab w:val="left" w:pos="142"/>
        </w:tabs>
        <w:jc w:val="both"/>
        <w:rPr>
          <w:rFonts w:ascii="Montserrat" w:hAnsi="Montserrat"/>
          <w:sz w:val="22"/>
          <w:szCs w:val="22"/>
        </w:rPr>
      </w:pPr>
      <w:bookmarkStart w:id="15" w:name="_Hlk157391948"/>
      <w:r w:rsidRPr="00192892">
        <w:rPr>
          <w:rFonts w:ascii="Montserrat" w:hAnsi="Montserrat"/>
          <w:b/>
          <w:sz w:val="22"/>
          <w:szCs w:val="22"/>
        </w:rPr>
        <w:t>Nota 17.- Deuda Pública a Largo Plazo.</w:t>
      </w:r>
    </w:p>
    <w:bookmarkEnd w:id="15"/>
    <w:p w14:paraId="7350B55A" w14:textId="77777777" w:rsidR="00926C5C" w:rsidRPr="00192892" w:rsidRDefault="00926C5C" w:rsidP="00926C5C">
      <w:pPr>
        <w:tabs>
          <w:tab w:val="left" w:pos="142"/>
        </w:tabs>
        <w:ind w:firstLine="720"/>
        <w:jc w:val="both"/>
        <w:rPr>
          <w:rFonts w:ascii="Montserrat" w:hAnsi="Montserrat"/>
          <w:sz w:val="22"/>
          <w:szCs w:val="22"/>
        </w:rPr>
      </w:pPr>
    </w:p>
    <w:p w14:paraId="7A4A3B0C" w14:textId="77777777" w:rsidR="00926C5C" w:rsidRPr="00192892" w:rsidRDefault="00926C5C" w:rsidP="00926C5C">
      <w:pPr>
        <w:tabs>
          <w:tab w:val="left" w:pos="142"/>
        </w:tabs>
        <w:jc w:val="both"/>
        <w:rPr>
          <w:rFonts w:ascii="Montserrat" w:hAnsi="Montserrat"/>
          <w:sz w:val="22"/>
          <w:szCs w:val="22"/>
        </w:rPr>
      </w:pPr>
      <w:r w:rsidRPr="00192892">
        <w:rPr>
          <w:rFonts w:ascii="Montserrat" w:hAnsi="Montserrat"/>
          <w:sz w:val="22"/>
          <w:szCs w:val="22"/>
        </w:rPr>
        <w:t>El saldo de esta cuenta representa el monto de las obligaciones directas o contingentes derivadas de financiamiento a cargo del Estado dentro del Poder Ejecutivo. A continuación, se presenta la integración de este rubro de enero-septiembre de 2024 y 2023:</w:t>
      </w:r>
    </w:p>
    <w:p w14:paraId="77FB1C8F" w14:textId="77777777" w:rsidR="00926C5C" w:rsidRPr="00192892" w:rsidRDefault="00926C5C" w:rsidP="00926C5C">
      <w:pPr>
        <w:jc w:val="center"/>
        <w:rPr>
          <w:rFonts w:ascii="Montserrat" w:hAnsi="Montserrat"/>
          <w:b/>
          <w:sz w:val="22"/>
          <w:szCs w:val="22"/>
        </w:rPr>
      </w:pPr>
      <w:r w:rsidRPr="00192892">
        <w:rPr>
          <w:rFonts w:ascii="Montserrat" w:hAnsi="Montserrat"/>
          <w:b/>
          <w:sz w:val="22"/>
          <w:szCs w:val="22"/>
        </w:rPr>
        <w:t xml:space="preserve"> (Pesos)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69D167FB" w14:textId="77777777" w:rsidTr="00C9363D">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7838325"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0B4B238C"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5C9F6423"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5B67BF1E" w14:textId="77777777" w:rsidTr="00C9363D">
        <w:trPr>
          <w:trHeight w:val="615"/>
        </w:trPr>
        <w:tc>
          <w:tcPr>
            <w:tcW w:w="5155" w:type="dxa"/>
            <w:tcBorders>
              <w:top w:val="nil"/>
              <w:left w:val="single" w:sz="8" w:space="0" w:color="auto"/>
              <w:bottom w:val="single" w:sz="8" w:space="0" w:color="auto"/>
              <w:right w:val="single" w:sz="8" w:space="0" w:color="auto"/>
            </w:tcBorders>
            <w:shd w:val="clear" w:color="auto" w:fill="auto"/>
            <w:noWrap/>
            <w:vAlign w:val="center"/>
            <w:hideMark/>
          </w:tcPr>
          <w:p w14:paraId="218EFD26"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 xml:space="preserve">Prestamos de la Deuda Pública Interna por Pagar a Largo Plazo </w:t>
            </w:r>
          </w:p>
        </w:tc>
        <w:tc>
          <w:tcPr>
            <w:tcW w:w="1843" w:type="dxa"/>
            <w:tcBorders>
              <w:top w:val="nil"/>
              <w:left w:val="nil"/>
              <w:bottom w:val="single" w:sz="8" w:space="0" w:color="auto"/>
              <w:right w:val="single" w:sz="8" w:space="0" w:color="auto"/>
            </w:tcBorders>
            <w:shd w:val="clear" w:color="000000" w:fill="FFFFFF"/>
            <w:noWrap/>
            <w:vAlign w:val="center"/>
            <w:hideMark/>
          </w:tcPr>
          <w:p w14:paraId="0592630A"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14,908,616,918</w:t>
            </w:r>
          </w:p>
        </w:tc>
        <w:tc>
          <w:tcPr>
            <w:tcW w:w="1843" w:type="dxa"/>
            <w:tcBorders>
              <w:top w:val="nil"/>
              <w:left w:val="nil"/>
              <w:bottom w:val="single" w:sz="8" w:space="0" w:color="auto"/>
              <w:right w:val="single" w:sz="8" w:space="0" w:color="auto"/>
            </w:tcBorders>
            <w:shd w:val="clear" w:color="000000" w:fill="FFFFFF"/>
            <w:noWrap/>
            <w:vAlign w:val="center"/>
            <w:hideMark/>
          </w:tcPr>
          <w:p w14:paraId="5BEE2E01"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15,242,912,264</w:t>
            </w:r>
          </w:p>
        </w:tc>
      </w:tr>
      <w:tr w:rsidR="00926C5C" w:rsidRPr="00192892" w14:paraId="4F931810"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361BCB2C"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634E38B0"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14,908,616,918</w:t>
            </w:r>
          </w:p>
        </w:tc>
        <w:tc>
          <w:tcPr>
            <w:tcW w:w="1843" w:type="dxa"/>
            <w:tcBorders>
              <w:top w:val="nil"/>
              <w:left w:val="nil"/>
              <w:bottom w:val="single" w:sz="8" w:space="0" w:color="auto"/>
              <w:right w:val="single" w:sz="8" w:space="0" w:color="auto"/>
            </w:tcBorders>
            <w:shd w:val="clear" w:color="000000" w:fill="FFFFFF"/>
            <w:noWrap/>
            <w:vAlign w:val="center"/>
            <w:hideMark/>
          </w:tcPr>
          <w:p w14:paraId="4AE1B2BF"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15,242,912,264</w:t>
            </w:r>
          </w:p>
        </w:tc>
      </w:tr>
    </w:tbl>
    <w:p w14:paraId="590EED03" w14:textId="77777777" w:rsidR="00926C5C" w:rsidRPr="00192892" w:rsidRDefault="00926C5C" w:rsidP="00926C5C">
      <w:pPr>
        <w:jc w:val="center"/>
        <w:rPr>
          <w:rFonts w:ascii="Montserrat" w:hAnsi="Montserrat"/>
          <w:b/>
          <w:sz w:val="22"/>
          <w:szCs w:val="22"/>
        </w:rPr>
      </w:pPr>
    </w:p>
    <w:p w14:paraId="2CA765B5" w14:textId="77777777" w:rsidR="00926C5C" w:rsidRPr="00192892" w:rsidRDefault="00926C5C" w:rsidP="00926C5C">
      <w:pPr>
        <w:rPr>
          <w:rFonts w:ascii="Montserrat" w:hAnsi="Montserrat"/>
          <w:sz w:val="22"/>
          <w:szCs w:val="22"/>
        </w:rPr>
      </w:pPr>
    </w:p>
    <w:p w14:paraId="2CF58D86" w14:textId="77777777" w:rsidR="00926C5C" w:rsidRPr="00192892" w:rsidRDefault="00926C5C" w:rsidP="00926C5C">
      <w:pPr>
        <w:jc w:val="both"/>
        <w:rPr>
          <w:rFonts w:ascii="Montserrat" w:hAnsi="Montserrat"/>
          <w:b/>
          <w:sz w:val="22"/>
          <w:szCs w:val="22"/>
        </w:rPr>
      </w:pPr>
      <w:bookmarkStart w:id="16" w:name="_Hlk157392040"/>
      <w:r w:rsidRPr="00192892">
        <w:rPr>
          <w:rFonts w:ascii="Montserrat" w:hAnsi="Montserrat"/>
          <w:b/>
          <w:sz w:val="22"/>
          <w:szCs w:val="22"/>
        </w:rPr>
        <w:t>Nota 18.- Fondos y Bienes de Terceros en Garantía y/o en Administración a Largo Plazo.</w:t>
      </w:r>
    </w:p>
    <w:bookmarkEnd w:id="16"/>
    <w:p w14:paraId="63430D11" w14:textId="77777777" w:rsidR="00926C5C" w:rsidRPr="00192892" w:rsidRDefault="00926C5C" w:rsidP="00926C5C">
      <w:pPr>
        <w:jc w:val="both"/>
        <w:rPr>
          <w:rFonts w:ascii="Montserrat" w:hAnsi="Montserrat"/>
          <w:b/>
          <w:sz w:val="22"/>
          <w:szCs w:val="22"/>
        </w:rPr>
      </w:pPr>
    </w:p>
    <w:p w14:paraId="1E5938A5" w14:textId="77777777" w:rsidR="00926C5C" w:rsidRPr="00192892" w:rsidRDefault="00926C5C" w:rsidP="00926C5C">
      <w:pPr>
        <w:jc w:val="both"/>
        <w:rPr>
          <w:rFonts w:ascii="Montserrat" w:hAnsi="Montserrat"/>
          <w:sz w:val="22"/>
          <w:szCs w:val="22"/>
        </w:rPr>
      </w:pPr>
      <w:r w:rsidRPr="00192892">
        <w:rPr>
          <w:rFonts w:ascii="Montserrat" w:hAnsi="Montserrat"/>
          <w:sz w:val="22"/>
          <w:szCs w:val="22"/>
        </w:rPr>
        <w:t>El saldo Al 30 de septiembre de 2024 y 2023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5FDEC1E5" w14:textId="77777777" w:rsidR="00926C5C" w:rsidRPr="00192892" w:rsidRDefault="00926C5C" w:rsidP="00926C5C">
      <w:pPr>
        <w:rPr>
          <w:rFonts w:ascii="Montserrat" w:hAnsi="Montserrat"/>
          <w:sz w:val="22"/>
          <w:szCs w:val="22"/>
        </w:rPr>
      </w:pPr>
    </w:p>
    <w:p w14:paraId="7FC1519E" w14:textId="77777777" w:rsidR="00926C5C" w:rsidRPr="00192892" w:rsidRDefault="00926C5C" w:rsidP="00926C5C">
      <w:pPr>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2313D83E" w14:textId="77777777" w:rsidTr="00C9363D">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6651C06" w14:textId="77777777" w:rsidR="00926C5C" w:rsidRPr="004B3002" w:rsidRDefault="00926C5C" w:rsidP="00FA0078">
            <w:pPr>
              <w:jc w:val="center"/>
              <w:rPr>
                <w:rFonts w:ascii="Montserrat" w:eastAsia="Times New Roman" w:hAnsi="Montserrat" w:cs="Calibri"/>
                <w:b/>
                <w:bCs/>
                <w:sz w:val="22"/>
                <w:szCs w:val="22"/>
                <w:lang w:val="es-MX"/>
              </w:rPr>
            </w:pPr>
            <w:bookmarkStart w:id="17" w:name="_Hlk157392110"/>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5FF0F54F"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39FFBD74"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02C437E4" w14:textId="77777777" w:rsidTr="00C9363D">
        <w:trPr>
          <w:trHeight w:val="315"/>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4B5B98D7"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Fondos en Garantía a Largo Plazo</w:t>
            </w:r>
          </w:p>
        </w:tc>
        <w:tc>
          <w:tcPr>
            <w:tcW w:w="1843" w:type="dxa"/>
            <w:tcBorders>
              <w:top w:val="nil"/>
              <w:left w:val="nil"/>
              <w:bottom w:val="single" w:sz="8" w:space="0" w:color="auto"/>
              <w:right w:val="single" w:sz="8" w:space="0" w:color="auto"/>
            </w:tcBorders>
            <w:shd w:val="clear" w:color="000000" w:fill="FFFFFF"/>
            <w:noWrap/>
            <w:vAlign w:val="center"/>
            <w:hideMark/>
          </w:tcPr>
          <w:p w14:paraId="1403538A"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23,257,987</w:t>
            </w:r>
          </w:p>
        </w:tc>
        <w:tc>
          <w:tcPr>
            <w:tcW w:w="1843" w:type="dxa"/>
            <w:tcBorders>
              <w:top w:val="nil"/>
              <w:left w:val="nil"/>
              <w:bottom w:val="single" w:sz="8" w:space="0" w:color="auto"/>
              <w:right w:val="single" w:sz="8" w:space="0" w:color="auto"/>
            </w:tcBorders>
            <w:shd w:val="clear" w:color="000000" w:fill="FFFFFF"/>
            <w:noWrap/>
            <w:vAlign w:val="center"/>
            <w:hideMark/>
          </w:tcPr>
          <w:p w14:paraId="5EA88A0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21,063,155</w:t>
            </w:r>
          </w:p>
        </w:tc>
      </w:tr>
      <w:tr w:rsidR="00926C5C" w:rsidRPr="00192892" w14:paraId="1CC66CF3"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3CA0D748"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016FBA82"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23,257,987</w:t>
            </w:r>
          </w:p>
        </w:tc>
        <w:tc>
          <w:tcPr>
            <w:tcW w:w="1843" w:type="dxa"/>
            <w:tcBorders>
              <w:top w:val="nil"/>
              <w:left w:val="nil"/>
              <w:bottom w:val="single" w:sz="8" w:space="0" w:color="auto"/>
              <w:right w:val="single" w:sz="8" w:space="0" w:color="auto"/>
            </w:tcBorders>
            <w:shd w:val="clear" w:color="000000" w:fill="FFFFFF"/>
            <w:noWrap/>
            <w:vAlign w:val="center"/>
            <w:hideMark/>
          </w:tcPr>
          <w:p w14:paraId="3652AD12"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21,063,155</w:t>
            </w:r>
          </w:p>
        </w:tc>
      </w:tr>
    </w:tbl>
    <w:p w14:paraId="034E6A51" w14:textId="77777777" w:rsidR="00926C5C" w:rsidRPr="00192892" w:rsidRDefault="00926C5C" w:rsidP="00926C5C">
      <w:pPr>
        <w:rPr>
          <w:rFonts w:ascii="Montserrat" w:hAnsi="Montserrat"/>
          <w:b/>
          <w:sz w:val="22"/>
          <w:szCs w:val="22"/>
        </w:rPr>
      </w:pPr>
    </w:p>
    <w:p w14:paraId="3EA4F53A" w14:textId="77777777" w:rsidR="00192892" w:rsidRDefault="00192892" w:rsidP="00926C5C">
      <w:pPr>
        <w:rPr>
          <w:rFonts w:ascii="Montserrat" w:hAnsi="Montserrat"/>
          <w:b/>
          <w:sz w:val="22"/>
          <w:szCs w:val="22"/>
        </w:rPr>
      </w:pPr>
    </w:p>
    <w:p w14:paraId="72515634" w14:textId="28E04432" w:rsidR="00926C5C" w:rsidRPr="00192892" w:rsidRDefault="00926C5C" w:rsidP="00926C5C">
      <w:pPr>
        <w:rPr>
          <w:rFonts w:ascii="Montserrat" w:hAnsi="Montserrat"/>
          <w:b/>
          <w:sz w:val="22"/>
          <w:szCs w:val="22"/>
        </w:rPr>
      </w:pPr>
      <w:r w:rsidRPr="00192892">
        <w:rPr>
          <w:rFonts w:ascii="Montserrat" w:hAnsi="Montserrat"/>
          <w:b/>
          <w:sz w:val="22"/>
          <w:szCs w:val="22"/>
        </w:rPr>
        <w:t>NOTAS AL ESTADO DE VARIACIÓN EN LA HACIENDA PÚBLICA</w:t>
      </w:r>
    </w:p>
    <w:p w14:paraId="3564EC40" w14:textId="77777777" w:rsidR="00926C5C" w:rsidRPr="00192892" w:rsidRDefault="00926C5C" w:rsidP="00926C5C">
      <w:pPr>
        <w:jc w:val="both"/>
        <w:rPr>
          <w:rFonts w:ascii="Montserrat" w:hAnsi="Montserrat"/>
          <w:b/>
          <w:sz w:val="22"/>
          <w:szCs w:val="22"/>
        </w:rPr>
      </w:pPr>
    </w:p>
    <w:p w14:paraId="7BC81841" w14:textId="77777777" w:rsidR="00926C5C" w:rsidRPr="00192892" w:rsidRDefault="00926C5C" w:rsidP="00926C5C">
      <w:pPr>
        <w:jc w:val="both"/>
        <w:rPr>
          <w:rFonts w:ascii="Montserrat" w:hAnsi="Montserrat"/>
          <w:b/>
          <w:sz w:val="22"/>
          <w:szCs w:val="22"/>
        </w:rPr>
      </w:pPr>
      <w:r w:rsidRPr="00192892">
        <w:rPr>
          <w:rFonts w:ascii="Montserrat" w:hAnsi="Montserrat"/>
          <w:b/>
          <w:sz w:val="22"/>
          <w:szCs w:val="22"/>
        </w:rPr>
        <w:t>Nota 19.- Variación de la Hacienda Pública/Patrimonio</w:t>
      </w:r>
    </w:p>
    <w:bookmarkEnd w:id="17"/>
    <w:p w14:paraId="465780FB" w14:textId="77777777" w:rsidR="00926C5C" w:rsidRPr="00192892" w:rsidRDefault="00926C5C" w:rsidP="00926C5C">
      <w:pPr>
        <w:pBdr>
          <w:top w:val="nil"/>
          <w:left w:val="nil"/>
          <w:bottom w:val="nil"/>
          <w:right w:val="nil"/>
          <w:between w:val="nil"/>
        </w:pBdr>
        <w:jc w:val="both"/>
        <w:rPr>
          <w:rFonts w:ascii="Montserrat" w:hAnsi="Montserrat"/>
          <w:sz w:val="22"/>
          <w:szCs w:val="22"/>
        </w:rPr>
      </w:pPr>
    </w:p>
    <w:p w14:paraId="4D65FCAE" w14:textId="77777777" w:rsidR="00926C5C" w:rsidRPr="00192892" w:rsidRDefault="00926C5C" w:rsidP="00926C5C">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Este Estado Consolidado muestra el monto de la Hacienda Pública/Patrimonio, con relación al Estado de Situación Financiera Consolidado del Poder Ejecutivo al cierre del periodo enero-septiembre de 2024 y 2023, se integra de la siguiente forma:</w:t>
      </w:r>
    </w:p>
    <w:p w14:paraId="5C9B7EE5" w14:textId="77777777" w:rsidR="00926C5C" w:rsidRPr="00192892" w:rsidRDefault="00926C5C" w:rsidP="00926C5C">
      <w:pPr>
        <w:widowControl w:val="0"/>
        <w:jc w:val="both"/>
        <w:rPr>
          <w:rFonts w:ascii="Montserrat" w:hAnsi="Montserrat"/>
          <w:sz w:val="22"/>
          <w:szCs w:val="22"/>
        </w:rPr>
      </w:pPr>
    </w:p>
    <w:p w14:paraId="545FEF4E" w14:textId="77777777" w:rsidR="00926C5C" w:rsidRPr="00192892" w:rsidRDefault="00926C5C" w:rsidP="00926C5C">
      <w:pPr>
        <w:widowControl w:val="0"/>
        <w:jc w:val="center"/>
        <w:rPr>
          <w:rFonts w:ascii="Montserrat" w:hAnsi="Montserrat"/>
          <w:b/>
          <w:sz w:val="22"/>
          <w:szCs w:val="22"/>
        </w:rPr>
      </w:pPr>
      <w:r w:rsidRPr="00192892">
        <w:rPr>
          <w:rFonts w:ascii="Montserrat" w:hAnsi="Montserrat"/>
          <w:b/>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6934B48E" w14:textId="77777777" w:rsidTr="00FD7686">
        <w:trPr>
          <w:trHeight w:val="330"/>
        </w:trPr>
        <w:tc>
          <w:tcPr>
            <w:tcW w:w="515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F6C748D"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Concepto</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7EC030AB"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2024</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2E17FC3E" w14:textId="77777777" w:rsidR="00926C5C" w:rsidRPr="004B3002" w:rsidRDefault="00926C5C" w:rsidP="00FA0078">
            <w:pPr>
              <w:jc w:val="center"/>
              <w:rPr>
                <w:rFonts w:ascii="Montserrat" w:eastAsia="Times New Roman" w:hAnsi="Montserrat" w:cs="Calibri"/>
                <w:b/>
                <w:bCs/>
                <w:sz w:val="22"/>
                <w:szCs w:val="22"/>
                <w:lang w:val="es-MX"/>
              </w:rPr>
            </w:pPr>
            <w:r w:rsidRPr="004B3002">
              <w:rPr>
                <w:rFonts w:ascii="Montserrat" w:eastAsia="Times New Roman" w:hAnsi="Montserrat" w:cs="Calibri"/>
                <w:b/>
                <w:bCs/>
                <w:sz w:val="22"/>
                <w:szCs w:val="22"/>
                <w:lang w:val="es-MX"/>
              </w:rPr>
              <w:t>2023</w:t>
            </w:r>
          </w:p>
        </w:tc>
      </w:tr>
      <w:tr w:rsidR="00926C5C" w:rsidRPr="00192892" w14:paraId="1C9CD24A" w14:textId="77777777" w:rsidTr="00FD7686">
        <w:trPr>
          <w:trHeight w:val="600"/>
        </w:trPr>
        <w:tc>
          <w:tcPr>
            <w:tcW w:w="5155"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25FFAA37"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Hacienda Pública/Patrimonio Contribuido</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14:paraId="5C31D8C5"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5,508,118,014</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14:paraId="7F55E0C5"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4,832,962,751</w:t>
            </w:r>
          </w:p>
        </w:tc>
      </w:tr>
      <w:tr w:rsidR="00926C5C" w:rsidRPr="00192892" w14:paraId="77EFBBCA" w14:textId="77777777" w:rsidTr="00FD7686">
        <w:trPr>
          <w:trHeight w:val="615"/>
        </w:trPr>
        <w:tc>
          <w:tcPr>
            <w:tcW w:w="5155"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473C29F0" w14:textId="77777777" w:rsidR="00926C5C" w:rsidRPr="00192892" w:rsidRDefault="00926C5C" w:rsidP="00FA0078">
            <w:pPr>
              <w:jc w:val="both"/>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Hacienda Pública/Patrimonio Generado</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6A21B9D8"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15,930,368,312</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2AE3959F" w14:textId="77777777" w:rsidR="00926C5C" w:rsidRPr="00192892" w:rsidRDefault="00926C5C" w:rsidP="00FA0078">
            <w:pPr>
              <w:jc w:val="right"/>
              <w:rPr>
                <w:rFonts w:ascii="Montserrat" w:eastAsia="Times New Roman" w:hAnsi="Montserrat" w:cs="Calibri"/>
                <w:color w:val="000000"/>
                <w:sz w:val="22"/>
                <w:szCs w:val="22"/>
                <w:lang w:val="es-MX"/>
              </w:rPr>
            </w:pPr>
            <w:r w:rsidRPr="00192892">
              <w:rPr>
                <w:rFonts w:ascii="Montserrat" w:eastAsia="Times New Roman" w:hAnsi="Montserrat" w:cs="Calibri"/>
                <w:color w:val="000000"/>
                <w:sz w:val="22"/>
                <w:szCs w:val="22"/>
                <w:lang w:val="es-MX"/>
              </w:rPr>
              <w:t>11,668,941,732</w:t>
            </w:r>
          </w:p>
        </w:tc>
      </w:tr>
      <w:tr w:rsidR="00926C5C" w:rsidRPr="00192892" w14:paraId="060F30B3"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FFFFFF"/>
            <w:noWrap/>
            <w:vAlign w:val="center"/>
            <w:hideMark/>
          </w:tcPr>
          <w:p w14:paraId="43043C14"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000000" w:fill="FFFFFF"/>
            <w:noWrap/>
            <w:vAlign w:val="center"/>
            <w:hideMark/>
          </w:tcPr>
          <w:p w14:paraId="1481A34F"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21,438,486,326</w:t>
            </w:r>
          </w:p>
        </w:tc>
        <w:tc>
          <w:tcPr>
            <w:tcW w:w="1843" w:type="dxa"/>
            <w:tcBorders>
              <w:top w:val="nil"/>
              <w:left w:val="nil"/>
              <w:bottom w:val="single" w:sz="8" w:space="0" w:color="auto"/>
              <w:right w:val="single" w:sz="8" w:space="0" w:color="auto"/>
            </w:tcBorders>
            <w:shd w:val="clear" w:color="000000" w:fill="FFFFFF"/>
            <w:noWrap/>
            <w:vAlign w:val="center"/>
            <w:hideMark/>
          </w:tcPr>
          <w:p w14:paraId="4C62D195" w14:textId="77777777" w:rsidR="00926C5C" w:rsidRPr="00192892" w:rsidRDefault="00926C5C" w:rsidP="00FA0078">
            <w:pPr>
              <w:jc w:val="right"/>
              <w:rPr>
                <w:rFonts w:ascii="Montserrat" w:eastAsia="Times New Roman" w:hAnsi="Montserrat" w:cs="Calibri"/>
                <w:b/>
                <w:bCs/>
                <w:color w:val="000000"/>
                <w:sz w:val="22"/>
                <w:szCs w:val="22"/>
                <w:lang w:val="es-MX"/>
              </w:rPr>
            </w:pPr>
            <w:r w:rsidRPr="00192892">
              <w:rPr>
                <w:rFonts w:ascii="Montserrat" w:eastAsia="Times New Roman" w:hAnsi="Montserrat" w:cs="Calibri"/>
                <w:b/>
                <w:bCs/>
                <w:color w:val="000000"/>
                <w:sz w:val="22"/>
                <w:szCs w:val="22"/>
                <w:lang w:val="es-MX"/>
              </w:rPr>
              <w:t>16,501,904,483</w:t>
            </w:r>
          </w:p>
        </w:tc>
      </w:tr>
    </w:tbl>
    <w:p w14:paraId="0FCC0844" w14:textId="77777777" w:rsidR="00926C5C" w:rsidRPr="00192892" w:rsidRDefault="00926C5C" w:rsidP="00926C5C">
      <w:pPr>
        <w:widowControl w:val="0"/>
        <w:jc w:val="both"/>
        <w:rPr>
          <w:rFonts w:ascii="Montserrat" w:hAnsi="Montserrat"/>
          <w:sz w:val="22"/>
          <w:szCs w:val="22"/>
        </w:rPr>
      </w:pPr>
    </w:p>
    <w:p w14:paraId="2165C5E3" w14:textId="77777777" w:rsidR="00926C5C" w:rsidRPr="00192892" w:rsidRDefault="00926C5C" w:rsidP="00926C5C">
      <w:pPr>
        <w:widowControl w:val="0"/>
        <w:jc w:val="both"/>
        <w:rPr>
          <w:rFonts w:ascii="Montserrat" w:hAnsi="Montserrat"/>
          <w:sz w:val="22"/>
          <w:szCs w:val="22"/>
        </w:rPr>
      </w:pPr>
    </w:p>
    <w:p w14:paraId="58655D3F" w14:textId="77777777" w:rsidR="00926C5C" w:rsidRPr="00192892" w:rsidRDefault="00926C5C" w:rsidP="00C9363D">
      <w:pPr>
        <w:keepNext/>
        <w:rPr>
          <w:rFonts w:ascii="Montserrat" w:hAnsi="Montserrat"/>
          <w:b/>
          <w:sz w:val="22"/>
          <w:szCs w:val="22"/>
        </w:rPr>
      </w:pPr>
      <w:bookmarkStart w:id="18" w:name="_Hlk157392194"/>
      <w:r w:rsidRPr="00192892">
        <w:rPr>
          <w:rFonts w:ascii="Montserrat" w:hAnsi="Montserrat"/>
          <w:b/>
          <w:sz w:val="22"/>
          <w:szCs w:val="22"/>
        </w:rPr>
        <w:t xml:space="preserve">NOTAS AL ESTADO DE FLUJOS DE EFECTIVO </w:t>
      </w:r>
    </w:p>
    <w:p w14:paraId="43B7142D" w14:textId="77777777" w:rsidR="00926C5C" w:rsidRPr="00192892" w:rsidRDefault="00926C5C" w:rsidP="00C9363D">
      <w:pPr>
        <w:keepNext/>
        <w:rPr>
          <w:rFonts w:ascii="Montserrat" w:hAnsi="Montserrat"/>
          <w:b/>
          <w:sz w:val="22"/>
          <w:szCs w:val="22"/>
        </w:rPr>
      </w:pPr>
    </w:p>
    <w:p w14:paraId="618DD777" w14:textId="77777777" w:rsidR="00926C5C" w:rsidRPr="00192892" w:rsidRDefault="00926C5C" w:rsidP="00926C5C">
      <w:pPr>
        <w:rPr>
          <w:rFonts w:ascii="Montserrat" w:hAnsi="Montserrat"/>
          <w:b/>
          <w:sz w:val="22"/>
          <w:szCs w:val="22"/>
        </w:rPr>
      </w:pPr>
      <w:r w:rsidRPr="00192892">
        <w:rPr>
          <w:rFonts w:ascii="Montserrat" w:hAnsi="Montserrat"/>
          <w:b/>
          <w:sz w:val="22"/>
          <w:szCs w:val="22"/>
        </w:rPr>
        <w:t>Nota 20.- Estado de Flujos de Efectivo.</w:t>
      </w:r>
    </w:p>
    <w:p w14:paraId="198FD742" w14:textId="77777777" w:rsidR="00926C5C" w:rsidRPr="00192892" w:rsidRDefault="00926C5C" w:rsidP="00926C5C">
      <w:pPr>
        <w:widowControl w:val="0"/>
        <w:jc w:val="both"/>
        <w:rPr>
          <w:rFonts w:ascii="Montserrat" w:hAnsi="Montserrat"/>
          <w:sz w:val="22"/>
          <w:szCs w:val="22"/>
        </w:rPr>
      </w:pPr>
    </w:p>
    <w:bookmarkEnd w:id="18"/>
    <w:p w14:paraId="3E41CF73" w14:textId="77777777" w:rsidR="00926C5C" w:rsidRPr="00192892" w:rsidRDefault="00926C5C" w:rsidP="00926C5C">
      <w:pPr>
        <w:widowControl w:val="0"/>
        <w:jc w:val="both"/>
        <w:rPr>
          <w:rFonts w:ascii="Montserrat" w:hAnsi="Montserrat"/>
          <w:sz w:val="22"/>
          <w:szCs w:val="22"/>
        </w:rPr>
      </w:pPr>
      <w:r w:rsidRPr="00192892">
        <w:rPr>
          <w:rFonts w:ascii="Montserrat" w:hAnsi="Montserrat"/>
          <w:sz w:val="22"/>
          <w:szCs w:val="22"/>
        </w:rPr>
        <w:t xml:space="preserve">El Estado de Flujos de Efectivo, muestra el análisis de los saldos inicial y final que figuran en la última parte del estado de Flujos de Efectivo, conformado por los elementos básicos de origen y aplicación de recursos, los cuales representan el </w:t>
      </w:r>
      <w:r w:rsidRPr="00192892">
        <w:rPr>
          <w:rFonts w:ascii="Montserrat" w:hAnsi="Montserrat"/>
          <w:sz w:val="22"/>
          <w:szCs w:val="22"/>
        </w:rPr>
        <w:lastRenderedPageBreak/>
        <w:t>rubro de Efectivo y Equivalentes mostrado en el Estado de Situación Financiera Consolidado como efectivo disponible del Poder Ejecutivo al cierre del periodo enero-septiembre de 2024 y 2023, mostrado de la siguiente manera:</w:t>
      </w:r>
    </w:p>
    <w:p w14:paraId="7DC04BC3" w14:textId="77777777" w:rsidR="00926C5C" w:rsidRPr="00192892" w:rsidRDefault="00926C5C" w:rsidP="00926C5C">
      <w:pPr>
        <w:widowControl w:val="0"/>
        <w:jc w:val="both"/>
        <w:rPr>
          <w:rFonts w:ascii="Montserrat" w:hAnsi="Montserrat"/>
          <w:sz w:val="22"/>
          <w:szCs w:val="22"/>
        </w:rPr>
      </w:pPr>
    </w:p>
    <w:p w14:paraId="552761A3" w14:textId="77777777" w:rsidR="00926C5C" w:rsidRPr="00192892" w:rsidRDefault="00926C5C" w:rsidP="00926C5C">
      <w:pPr>
        <w:pBdr>
          <w:top w:val="nil"/>
          <w:left w:val="nil"/>
          <w:bottom w:val="nil"/>
          <w:right w:val="nil"/>
          <w:between w:val="nil"/>
        </w:pBdr>
        <w:jc w:val="center"/>
        <w:rPr>
          <w:rFonts w:ascii="Montserrat" w:hAnsi="Montserrat"/>
          <w:color w:val="000000"/>
          <w:sz w:val="22"/>
          <w:szCs w:val="22"/>
        </w:rPr>
      </w:pPr>
      <w:bookmarkStart w:id="19" w:name="_Hlk157392310"/>
      <w:r w:rsidRPr="00192892">
        <w:rPr>
          <w:rFonts w:ascii="Montserrat" w:hAnsi="Montserrat"/>
          <w:b/>
          <w:color w:val="000000"/>
          <w:sz w:val="22"/>
          <w:szCs w:val="22"/>
        </w:rPr>
        <w:t>(Pesos)</w:t>
      </w:r>
    </w:p>
    <w:tbl>
      <w:tblPr>
        <w:tblW w:w="8841" w:type="dxa"/>
        <w:tblInd w:w="80" w:type="dxa"/>
        <w:tblCellMar>
          <w:left w:w="70" w:type="dxa"/>
          <w:right w:w="70" w:type="dxa"/>
        </w:tblCellMar>
        <w:tblLook w:val="04A0" w:firstRow="1" w:lastRow="0" w:firstColumn="1" w:lastColumn="0" w:noHBand="0" w:noVBand="1"/>
      </w:tblPr>
      <w:tblGrid>
        <w:gridCol w:w="5155"/>
        <w:gridCol w:w="1843"/>
        <w:gridCol w:w="1843"/>
      </w:tblGrid>
      <w:tr w:rsidR="004B3002" w:rsidRPr="004B3002" w14:paraId="50693F34" w14:textId="77777777" w:rsidTr="00C9363D">
        <w:trPr>
          <w:trHeight w:val="330"/>
        </w:trPr>
        <w:tc>
          <w:tcPr>
            <w:tcW w:w="8841"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62D99656" w14:textId="77777777" w:rsidR="00926C5C" w:rsidRPr="004B3002" w:rsidRDefault="00926C5C" w:rsidP="00FA0078">
            <w:pPr>
              <w:jc w:val="center"/>
              <w:rPr>
                <w:rFonts w:ascii="Montserrat" w:eastAsia="Times New Roman" w:hAnsi="Montserrat" w:cs="Times New Roman"/>
                <w:b/>
                <w:bCs/>
                <w:sz w:val="22"/>
                <w:szCs w:val="22"/>
                <w:lang w:val="es-MX"/>
              </w:rPr>
            </w:pPr>
            <w:r w:rsidRPr="004B3002">
              <w:rPr>
                <w:rFonts w:ascii="Montserrat" w:eastAsia="Times New Roman" w:hAnsi="Montserrat" w:cs="Times New Roman"/>
                <w:b/>
                <w:bCs/>
                <w:sz w:val="22"/>
                <w:szCs w:val="22"/>
                <w:lang w:val="es-MX"/>
              </w:rPr>
              <w:t>Efectivo y Equivalentes</w:t>
            </w:r>
          </w:p>
        </w:tc>
      </w:tr>
      <w:tr w:rsidR="004B3002" w:rsidRPr="004B3002" w14:paraId="6EB14322" w14:textId="77777777" w:rsidTr="00C9363D">
        <w:trPr>
          <w:trHeight w:val="330"/>
        </w:trPr>
        <w:tc>
          <w:tcPr>
            <w:tcW w:w="5155" w:type="dxa"/>
            <w:tcBorders>
              <w:top w:val="nil"/>
              <w:left w:val="single" w:sz="8" w:space="0" w:color="auto"/>
              <w:bottom w:val="single" w:sz="8" w:space="0" w:color="auto"/>
              <w:right w:val="single" w:sz="8" w:space="0" w:color="auto"/>
            </w:tcBorders>
            <w:shd w:val="clear" w:color="000000" w:fill="808080"/>
            <w:vAlign w:val="center"/>
            <w:hideMark/>
          </w:tcPr>
          <w:p w14:paraId="70AA7F2F" w14:textId="77777777" w:rsidR="00926C5C" w:rsidRPr="004B3002" w:rsidRDefault="00926C5C" w:rsidP="00FA0078">
            <w:pPr>
              <w:jc w:val="center"/>
              <w:rPr>
                <w:rFonts w:ascii="Montserrat" w:eastAsia="Times New Roman" w:hAnsi="Montserrat" w:cs="Times New Roman"/>
                <w:b/>
                <w:bCs/>
                <w:sz w:val="22"/>
                <w:szCs w:val="22"/>
                <w:lang w:val="es-MX"/>
              </w:rPr>
            </w:pPr>
            <w:r w:rsidRPr="004B3002">
              <w:rPr>
                <w:rFonts w:ascii="Montserrat" w:eastAsia="Times New Roman" w:hAnsi="Montserrat" w:cs="Times New Roman"/>
                <w:b/>
                <w:bCs/>
                <w:sz w:val="22"/>
                <w:szCs w:val="22"/>
                <w:lang w:val="es-MX"/>
              </w:rPr>
              <w:t>Concepto</w:t>
            </w:r>
          </w:p>
        </w:tc>
        <w:tc>
          <w:tcPr>
            <w:tcW w:w="1843" w:type="dxa"/>
            <w:tcBorders>
              <w:top w:val="nil"/>
              <w:left w:val="nil"/>
              <w:bottom w:val="single" w:sz="8" w:space="0" w:color="auto"/>
              <w:right w:val="single" w:sz="8" w:space="0" w:color="auto"/>
            </w:tcBorders>
            <w:shd w:val="clear" w:color="000000" w:fill="808080"/>
            <w:vAlign w:val="center"/>
            <w:hideMark/>
          </w:tcPr>
          <w:p w14:paraId="57DE3159" w14:textId="77777777" w:rsidR="00926C5C" w:rsidRPr="004B3002" w:rsidRDefault="00926C5C" w:rsidP="00FA0078">
            <w:pPr>
              <w:jc w:val="center"/>
              <w:rPr>
                <w:rFonts w:ascii="Montserrat" w:eastAsia="Times New Roman" w:hAnsi="Montserrat" w:cs="Times New Roman"/>
                <w:b/>
                <w:bCs/>
                <w:sz w:val="22"/>
                <w:szCs w:val="22"/>
                <w:lang w:val="es-MX"/>
              </w:rPr>
            </w:pPr>
            <w:r w:rsidRPr="004B3002">
              <w:rPr>
                <w:rFonts w:ascii="Montserrat" w:eastAsia="Times New Roman" w:hAnsi="Montserrat" w:cs="Times New Roman"/>
                <w:b/>
                <w:bCs/>
                <w:sz w:val="22"/>
                <w:szCs w:val="22"/>
                <w:lang w:val="es-MX"/>
              </w:rPr>
              <w:t>2024</w:t>
            </w:r>
          </w:p>
        </w:tc>
        <w:tc>
          <w:tcPr>
            <w:tcW w:w="1843" w:type="dxa"/>
            <w:tcBorders>
              <w:top w:val="nil"/>
              <w:left w:val="nil"/>
              <w:bottom w:val="single" w:sz="8" w:space="0" w:color="auto"/>
              <w:right w:val="single" w:sz="8" w:space="0" w:color="auto"/>
            </w:tcBorders>
            <w:shd w:val="clear" w:color="000000" w:fill="808080"/>
            <w:vAlign w:val="center"/>
            <w:hideMark/>
          </w:tcPr>
          <w:p w14:paraId="0218062B" w14:textId="77777777" w:rsidR="00926C5C" w:rsidRPr="004B3002" w:rsidRDefault="00926C5C" w:rsidP="00FA0078">
            <w:pPr>
              <w:jc w:val="center"/>
              <w:rPr>
                <w:rFonts w:ascii="Montserrat" w:eastAsia="Times New Roman" w:hAnsi="Montserrat" w:cs="Times New Roman"/>
                <w:b/>
                <w:bCs/>
                <w:sz w:val="22"/>
                <w:szCs w:val="22"/>
                <w:lang w:val="es-MX"/>
              </w:rPr>
            </w:pPr>
            <w:r w:rsidRPr="004B3002">
              <w:rPr>
                <w:rFonts w:ascii="Montserrat" w:eastAsia="Times New Roman" w:hAnsi="Montserrat" w:cs="Times New Roman"/>
                <w:b/>
                <w:bCs/>
                <w:sz w:val="22"/>
                <w:szCs w:val="22"/>
                <w:lang w:val="es-MX"/>
              </w:rPr>
              <w:t>2023</w:t>
            </w:r>
          </w:p>
        </w:tc>
      </w:tr>
      <w:tr w:rsidR="00926C5C" w:rsidRPr="00192892" w14:paraId="59C5FFF2" w14:textId="77777777" w:rsidTr="00C9363D">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2169734E"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Efectivo</w:t>
            </w:r>
          </w:p>
        </w:tc>
        <w:tc>
          <w:tcPr>
            <w:tcW w:w="1843" w:type="dxa"/>
            <w:tcBorders>
              <w:top w:val="nil"/>
              <w:left w:val="nil"/>
              <w:bottom w:val="single" w:sz="8" w:space="0" w:color="auto"/>
              <w:right w:val="single" w:sz="8" w:space="0" w:color="auto"/>
            </w:tcBorders>
            <w:shd w:val="clear" w:color="auto" w:fill="auto"/>
            <w:vAlign w:val="center"/>
            <w:hideMark/>
          </w:tcPr>
          <w:p w14:paraId="65793CCB"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552,101</w:t>
            </w:r>
          </w:p>
        </w:tc>
        <w:tc>
          <w:tcPr>
            <w:tcW w:w="1843" w:type="dxa"/>
            <w:tcBorders>
              <w:top w:val="nil"/>
              <w:left w:val="nil"/>
              <w:bottom w:val="single" w:sz="8" w:space="0" w:color="auto"/>
              <w:right w:val="single" w:sz="8" w:space="0" w:color="auto"/>
            </w:tcBorders>
            <w:shd w:val="clear" w:color="auto" w:fill="auto"/>
            <w:vAlign w:val="center"/>
            <w:hideMark/>
          </w:tcPr>
          <w:p w14:paraId="771E2031"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914,601</w:t>
            </w:r>
          </w:p>
        </w:tc>
      </w:tr>
      <w:tr w:rsidR="00926C5C" w:rsidRPr="00192892" w14:paraId="6C41ABD4" w14:textId="77777777" w:rsidTr="00C9363D">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1BF8C267"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Bancos/Tesorería</w:t>
            </w:r>
          </w:p>
        </w:tc>
        <w:tc>
          <w:tcPr>
            <w:tcW w:w="1843" w:type="dxa"/>
            <w:tcBorders>
              <w:top w:val="nil"/>
              <w:left w:val="nil"/>
              <w:bottom w:val="single" w:sz="8" w:space="0" w:color="auto"/>
              <w:right w:val="single" w:sz="8" w:space="0" w:color="auto"/>
            </w:tcBorders>
            <w:shd w:val="clear" w:color="auto" w:fill="auto"/>
            <w:vAlign w:val="center"/>
            <w:hideMark/>
          </w:tcPr>
          <w:p w14:paraId="3146BAF1"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3,439,611,180</w:t>
            </w:r>
          </w:p>
        </w:tc>
        <w:tc>
          <w:tcPr>
            <w:tcW w:w="1843" w:type="dxa"/>
            <w:tcBorders>
              <w:top w:val="nil"/>
              <w:left w:val="nil"/>
              <w:bottom w:val="single" w:sz="8" w:space="0" w:color="auto"/>
              <w:right w:val="single" w:sz="8" w:space="0" w:color="auto"/>
            </w:tcBorders>
            <w:shd w:val="clear" w:color="auto" w:fill="auto"/>
            <w:vAlign w:val="center"/>
            <w:hideMark/>
          </w:tcPr>
          <w:p w14:paraId="017E7B02"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2,399,887,944</w:t>
            </w:r>
          </w:p>
        </w:tc>
      </w:tr>
      <w:tr w:rsidR="00926C5C" w:rsidRPr="00192892" w14:paraId="6A4E8599" w14:textId="77777777" w:rsidTr="00C9363D">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2E69D562"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Bancos/Dependencias y Otros</w:t>
            </w:r>
          </w:p>
        </w:tc>
        <w:tc>
          <w:tcPr>
            <w:tcW w:w="1843" w:type="dxa"/>
            <w:tcBorders>
              <w:top w:val="nil"/>
              <w:left w:val="nil"/>
              <w:bottom w:val="single" w:sz="8" w:space="0" w:color="auto"/>
              <w:right w:val="single" w:sz="8" w:space="0" w:color="auto"/>
            </w:tcBorders>
            <w:shd w:val="clear" w:color="auto" w:fill="auto"/>
            <w:vAlign w:val="center"/>
            <w:hideMark/>
          </w:tcPr>
          <w:p w14:paraId="2D2BEF3D"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638,798,267</w:t>
            </w:r>
          </w:p>
        </w:tc>
        <w:tc>
          <w:tcPr>
            <w:tcW w:w="1843" w:type="dxa"/>
            <w:tcBorders>
              <w:top w:val="nil"/>
              <w:left w:val="nil"/>
              <w:bottom w:val="single" w:sz="8" w:space="0" w:color="auto"/>
              <w:right w:val="single" w:sz="8" w:space="0" w:color="auto"/>
            </w:tcBorders>
            <w:shd w:val="clear" w:color="auto" w:fill="auto"/>
            <w:vAlign w:val="center"/>
            <w:hideMark/>
          </w:tcPr>
          <w:p w14:paraId="0985BA73"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439,725,917</w:t>
            </w:r>
          </w:p>
        </w:tc>
      </w:tr>
      <w:tr w:rsidR="00926C5C" w:rsidRPr="00192892" w14:paraId="617DC750" w14:textId="77777777" w:rsidTr="00C9363D">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616824C8"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 xml:space="preserve">Inversiones Temporales (Hasta 3 meses) </w:t>
            </w:r>
          </w:p>
        </w:tc>
        <w:tc>
          <w:tcPr>
            <w:tcW w:w="1843" w:type="dxa"/>
            <w:tcBorders>
              <w:top w:val="nil"/>
              <w:left w:val="nil"/>
              <w:bottom w:val="single" w:sz="8" w:space="0" w:color="auto"/>
              <w:right w:val="single" w:sz="8" w:space="0" w:color="auto"/>
            </w:tcBorders>
            <w:shd w:val="clear" w:color="auto" w:fill="auto"/>
            <w:vAlign w:val="center"/>
            <w:hideMark/>
          </w:tcPr>
          <w:p w14:paraId="73580391"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8,037,895,309</w:t>
            </w:r>
          </w:p>
        </w:tc>
        <w:tc>
          <w:tcPr>
            <w:tcW w:w="1843" w:type="dxa"/>
            <w:tcBorders>
              <w:top w:val="nil"/>
              <w:left w:val="nil"/>
              <w:bottom w:val="single" w:sz="8" w:space="0" w:color="auto"/>
              <w:right w:val="single" w:sz="8" w:space="0" w:color="auto"/>
            </w:tcBorders>
            <w:shd w:val="clear" w:color="auto" w:fill="auto"/>
            <w:vAlign w:val="center"/>
            <w:hideMark/>
          </w:tcPr>
          <w:p w14:paraId="128DB5A2"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7,512,643,306</w:t>
            </w:r>
          </w:p>
        </w:tc>
      </w:tr>
      <w:tr w:rsidR="00926C5C" w:rsidRPr="00192892" w14:paraId="675FA550" w14:textId="77777777" w:rsidTr="00C9363D">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3154427F"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Fondos con Afectación Específica</w:t>
            </w:r>
          </w:p>
        </w:tc>
        <w:tc>
          <w:tcPr>
            <w:tcW w:w="1843" w:type="dxa"/>
            <w:tcBorders>
              <w:top w:val="nil"/>
              <w:left w:val="nil"/>
              <w:bottom w:val="single" w:sz="8" w:space="0" w:color="auto"/>
              <w:right w:val="single" w:sz="8" w:space="0" w:color="auto"/>
            </w:tcBorders>
            <w:shd w:val="clear" w:color="auto" w:fill="auto"/>
            <w:vAlign w:val="center"/>
            <w:hideMark/>
          </w:tcPr>
          <w:p w14:paraId="0887D456"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0</w:t>
            </w:r>
          </w:p>
        </w:tc>
        <w:tc>
          <w:tcPr>
            <w:tcW w:w="1843" w:type="dxa"/>
            <w:tcBorders>
              <w:top w:val="nil"/>
              <w:left w:val="nil"/>
              <w:bottom w:val="single" w:sz="8" w:space="0" w:color="auto"/>
              <w:right w:val="single" w:sz="8" w:space="0" w:color="auto"/>
            </w:tcBorders>
            <w:shd w:val="clear" w:color="auto" w:fill="auto"/>
            <w:vAlign w:val="center"/>
            <w:hideMark/>
          </w:tcPr>
          <w:p w14:paraId="5DE9A4AF"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0</w:t>
            </w:r>
          </w:p>
        </w:tc>
      </w:tr>
      <w:tr w:rsidR="00926C5C" w:rsidRPr="00192892" w14:paraId="5A7013E7" w14:textId="77777777" w:rsidTr="00C9363D">
        <w:trPr>
          <w:trHeight w:val="645"/>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5B55E2CD"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Depósitos de Fondos de Terceros en Garantía y/o Administración</w:t>
            </w:r>
          </w:p>
        </w:tc>
        <w:tc>
          <w:tcPr>
            <w:tcW w:w="1843" w:type="dxa"/>
            <w:tcBorders>
              <w:top w:val="nil"/>
              <w:left w:val="nil"/>
              <w:bottom w:val="single" w:sz="8" w:space="0" w:color="auto"/>
              <w:right w:val="single" w:sz="8" w:space="0" w:color="auto"/>
            </w:tcBorders>
            <w:shd w:val="clear" w:color="auto" w:fill="auto"/>
            <w:vAlign w:val="center"/>
            <w:hideMark/>
          </w:tcPr>
          <w:p w14:paraId="08EAAC2A"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0</w:t>
            </w:r>
          </w:p>
        </w:tc>
        <w:tc>
          <w:tcPr>
            <w:tcW w:w="1843" w:type="dxa"/>
            <w:tcBorders>
              <w:top w:val="nil"/>
              <w:left w:val="nil"/>
              <w:bottom w:val="single" w:sz="8" w:space="0" w:color="auto"/>
              <w:right w:val="single" w:sz="8" w:space="0" w:color="auto"/>
            </w:tcBorders>
            <w:shd w:val="clear" w:color="auto" w:fill="auto"/>
            <w:vAlign w:val="center"/>
            <w:hideMark/>
          </w:tcPr>
          <w:p w14:paraId="2DDB8AFF"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0</w:t>
            </w:r>
          </w:p>
        </w:tc>
      </w:tr>
      <w:tr w:rsidR="00926C5C" w:rsidRPr="00192892" w14:paraId="06255BC1" w14:textId="77777777" w:rsidTr="00C9363D">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18B878C3" w14:textId="77777777" w:rsidR="00926C5C" w:rsidRPr="00192892" w:rsidRDefault="00926C5C" w:rsidP="00FA0078">
            <w:pPr>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Otros Efectivos y Equivalentes</w:t>
            </w:r>
          </w:p>
        </w:tc>
        <w:tc>
          <w:tcPr>
            <w:tcW w:w="1843" w:type="dxa"/>
            <w:tcBorders>
              <w:top w:val="nil"/>
              <w:left w:val="nil"/>
              <w:bottom w:val="single" w:sz="8" w:space="0" w:color="auto"/>
              <w:right w:val="single" w:sz="8" w:space="0" w:color="auto"/>
            </w:tcBorders>
            <w:shd w:val="clear" w:color="auto" w:fill="auto"/>
            <w:vAlign w:val="center"/>
            <w:hideMark/>
          </w:tcPr>
          <w:p w14:paraId="77FD7D45"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0</w:t>
            </w:r>
          </w:p>
        </w:tc>
        <w:tc>
          <w:tcPr>
            <w:tcW w:w="1843" w:type="dxa"/>
            <w:tcBorders>
              <w:top w:val="nil"/>
              <w:left w:val="nil"/>
              <w:bottom w:val="single" w:sz="8" w:space="0" w:color="auto"/>
              <w:right w:val="single" w:sz="8" w:space="0" w:color="auto"/>
            </w:tcBorders>
            <w:shd w:val="clear" w:color="auto" w:fill="auto"/>
            <w:vAlign w:val="center"/>
            <w:hideMark/>
          </w:tcPr>
          <w:p w14:paraId="52BBB541" w14:textId="77777777" w:rsidR="00926C5C" w:rsidRPr="00192892" w:rsidRDefault="00926C5C" w:rsidP="00FA0078">
            <w:pPr>
              <w:jc w:val="right"/>
              <w:rPr>
                <w:rFonts w:ascii="Montserrat" w:eastAsia="Times New Roman" w:hAnsi="Montserrat" w:cs="Times New Roman"/>
                <w:color w:val="000000"/>
                <w:sz w:val="22"/>
                <w:szCs w:val="22"/>
                <w:lang w:val="es-MX"/>
              </w:rPr>
            </w:pPr>
            <w:r w:rsidRPr="00192892">
              <w:rPr>
                <w:rFonts w:ascii="Montserrat" w:eastAsia="Times New Roman" w:hAnsi="Montserrat" w:cs="Times New Roman"/>
                <w:color w:val="000000"/>
                <w:sz w:val="22"/>
                <w:szCs w:val="22"/>
                <w:lang w:val="es-MX"/>
              </w:rPr>
              <w:t>0</w:t>
            </w:r>
          </w:p>
        </w:tc>
      </w:tr>
      <w:tr w:rsidR="004B3002" w:rsidRPr="004B3002" w14:paraId="778D35A2" w14:textId="77777777" w:rsidTr="004B3002">
        <w:trPr>
          <w:trHeight w:val="330"/>
        </w:trPr>
        <w:tc>
          <w:tcPr>
            <w:tcW w:w="5155" w:type="dxa"/>
            <w:tcBorders>
              <w:top w:val="nil"/>
              <w:left w:val="single" w:sz="8" w:space="0" w:color="auto"/>
              <w:bottom w:val="single" w:sz="8" w:space="0" w:color="auto"/>
              <w:right w:val="single" w:sz="8" w:space="0" w:color="auto"/>
            </w:tcBorders>
            <w:shd w:val="clear" w:color="auto" w:fill="auto"/>
            <w:vAlign w:val="center"/>
            <w:hideMark/>
          </w:tcPr>
          <w:p w14:paraId="623DA61F" w14:textId="77777777" w:rsidR="00926C5C" w:rsidRPr="004B3002" w:rsidRDefault="00926C5C" w:rsidP="00FA0078">
            <w:pPr>
              <w:jc w:val="right"/>
              <w:rPr>
                <w:rFonts w:ascii="Montserrat" w:eastAsia="Times New Roman" w:hAnsi="Montserrat" w:cs="Calibri"/>
                <w:b/>
                <w:bCs/>
                <w:color w:val="000000"/>
                <w:sz w:val="22"/>
                <w:szCs w:val="22"/>
                <w:lang w:val="es-MX"/>
              </w:rPr>
            </w:pPr>
            <w:r w:rsidRPr="004B3002">
              <w:rPr>
                <w:rFonts w:ascii="Montserrat" w:eastAsia="Times New Roman" w:hAnsi="Montserrat" w:cs="Calibri"/>
                <w:b/>
                <w:bCs/>
                <w:color w:val="000000"/>
                <w:sz w:val="22"/>
                <w:szCs w:val="22"/>
                <w:lang w:val="es-MX"/>
              </w:rPr>
              <w:t>Suma</w:t>
            </w:r>
          </w:p>
        </w:tc>
        <w:tc>
          <w:tcPr>
            <w:tcW w:w="1843" w:type="dxa"/>
            <w:tcBorders>
              <w:top w:val="nil"/>
              <w:left w:val="nil"/>
              <w:bottom w:val="single" w:sz="8" w:space="0" w:color="auto"/>
              <w:right w:val="single" w:sz="8" w:space="0" w:color="auto"/>
            </w:tcBorders>
            <w:shd w:val="clear" w:color="auto" w:fill="auto"/>
            <w:vAlign w:val="center"/>
            <w:hideMark/>
          </w:tcPr>
          <w:p w14:paraId="721AD723" w14:textId="77777777" w:rsidR="00926C5C" w:rsidRPr="004B3002" w:rsidRDefault="00926C5C" w:rsidP="00FA0078">
            <w:pPr>
              <w:jc w:val="right"/>
              <w:rPr>
                <w:rFonts w:ascii="Montserrat" w:eastAsia="Times New Roman" w:hAnsi="Montserrat" w:cs="Calibri"/>
                <w:b/>
                <w:bCs/>
                <w:color w:val="000000"/>
                <w:sz w:val="22"/>
                <w:szCs w:val="22"/>
                <w:lang w:val="es-MX"/>
              </w:rPr>
            </w:pPr>
            <w:r w:rsidRPr="004B3002">
              <w:rPr>
                <w:rFonts w:ascii="Montserrat" w:eastAsia="Times New Roman" w:hAnsi="Montserrat" w:cs="Calibri"/>
                <w:b/>
                <w:bCs/>
                <w:color w:val="000000"/>
                <w:sz w:val="22"/>
                <w:szCs w:val="22"/>
                <w:lang w:val="es-MX"/>
              </w:rPr>
              <w:t>12,116,856,856</w:t>
            </w:r>
          </w:p>
        </w:tc>
        <w:tc>
          <w:tcPr>
            <w:tcW w:w="1843" w:type="dxa"/>
            <w:tcBorders>
              <w:top w:val="nil"/>
              <w:left w:val="nil"/>
              <w:bottom w:val="single" w:sz="8" w:space="0" w:color="auto"/>
              <w:right w:val="single" w:sz="8" w:space="0" w:color="auto"/>
            </w:tcBorders>
            <w:shd w:val="clear" w:color="auto" w:fill="auto"/>
            <w:vAlign w:val="center"/>
            <w:hideMark/>
          </w:tcPr>
          <w:p w14:paraId="0ABC5ECB" w14:textId="77777777" w:rsidR="00926C5C" w:rsidRPr="004B3002" w:rsidRDefault="00926C5C" w:rsidP="00FA0078">
            <w:pPr>
              <w:jc w:val="right"/>
              <w:rPr>
                <w:rFonts w:ascii="Montserrat" w:eastAsia="Times New Roman" w:hAnsi="Montserrat" w:cs="Calibri"/>
                <w:b/>
                <w:bCs/>
                <w:color w:val="000000"/>
                <w:sz w:val="22"/>
                <w:szCs w:val="22"/>
                <w:lang w:val="es-MX"/>
              </w:rPr>
            </w:pPr>
            <w:r w:rsidRPr="004B3002">
              <w:rPr>
                <w:rFonts w:ascii="Montserrat" w:eastAsia="Times New Roman" w:hAnsi="Montserrat" w:cs="Calibri"/>
                <w:b/>
                <w:bCs/>
                <w:color w:val="000000"/>
                <w:sz w:val="22"/>
                <w:szCs w:val="22"/>
                <w:lang w:val="es-MX"/>
              </w:rPr>
              <w:t>10,353,171,768</w:t>
            </w:r>
          </w:p>
        </w:tc>
      </w:tr>
    </w:tbl>
    <w:p w14:paraId="7F4F8846" w14:textId="77777777" w:rsidR="00926C5C" w:rsidRPr="00192892" w:rsidRDefault="00926C5C" w:rsidP="00926C5C">
      <w:pPr>
        <w:rPr>
          <w:rFonts w:ascii="Montserrat" w:hAnsi="Montserrat"/>
          <w:b/>
          <w:sz w:val="22"/>
          <w:szCs w:val="22"/>
        </w:rPr>
      </w:pPr>
    </w:p>
    <w:p w14:paraId="292BF285" w14:textId="77777777" w:rsidR="00926C5C" w:rsidRPr="00192892" w:rsidRDefault="00926C5C" w:rsidP="00926C5C">
      <w:pPr>
        <w:jc w:val="center"/>
        <w:rPr>
          <w:rFonts w:ascii="Montserrat" w:hAnsi="Montserrat"/>
          <w:b/>
          <w:sz w:val="22"/>
          <w:szCs w:val="22"/>
        </w:rPr>
      </w:pPr>
      <w:bookmarkStart w:id="20" w:name="_Hlk157392413"/>
      <w:bookmarkEnd w:id="19"/>
    </w:p>
    <w:bookmarkEnd w:id="20"/>
    <w:p w14:paraId="1603B35B" w14:textId="77777777" w:rsidR="00926C5C" w:rsidRPr="00192892" w:rsidRDefault="00926C5C" w:rsidP="00926C5C">
      <w:pPr>
        <w:jc w:val="center"/>
        <w:rPr>
          <w:rFonts w:ascii="Montserrat" w:hAnsi="Montserrat"/>
          <w:b/>
          <w:sz w:val="22"/>
          <w:szCs w:val="22"/>
        </w:rPr>
      </w:pPr>
    </w:p>
    <w:p w14:paraId="6729F2F9" w14:textId="6E0A6FFC" w:rsidR="00926C5C" w:rsidRPr="00192892" w:rsidRDefault="00926C5C">
      <w:pPr>
        <w:rPr>
          <w:rFonts w:ascii="Montserrat" w:hAnsi="Montserrat"/>
          <w:b/>
          <w:sz w:val="22"/>
          <w:szCs w:val="22"/>
        </w:rPr>
      </w:pPr>
      <w:r w:rsidRPr="00192892">
        <w:rPr>
          <w:rFonts w:ascii="Montserrat" w:hAnsi="Montserrat"/>
          <w:b/>
          <w:sz w:val="22"/>
          <w:szCs w:val="22"/>
        </w:rPr>
        <w:br w:type="page"/>
      </w:r>
    </w:p>
    <w:p w14:paraId="2177097D" w14:textId="77777777" w:rsidR="009A021D" w:rsidRPr="00192892" w:rsidRDefault="009A021D" w:rsidP="00BD1924">
      <w:pPr>
        <w:jc w:val="center"/>
        <w:rPr>
          <w:rFonts w:ascii="Montserrat" w:hAnsi="Montserrat"/>
          <w:b/>
          <w:sz w:val="22"/>
          <w:szCs w:val="22"/>
        </w:rPr>
      </w:pPr>
    </w:p>
    <w:p w14:paraId="7648A0B5" w14:textId="5B4A2FC5" w:rsidR="009A021D" w:rsidRPr="00192892" w:rsidRDefault="009A021D" w:rsidP="009A021D">
      <w:pPr>
        <w:rPr>
          <w:rFonts w:ascii="Montserrat" w:hAnsi="Montserrat"/>
          <w:sz w:val="22"/>
          <w:szCs w:val="22"/>
        </w:rPr>
      </w:pPr>
    </w:p>
    <w:p w14:paraId="49BD2CB9" w14:textId="77777777" w:rsidR="009A021D" w:rsidRPr="00192892" w:rsidRDefault="009A021D" w:rsidP="009A021D">
      <w:pPr>
        <w:jc w:val="center"/>
        <w:rPr>
          <w:rFonts w:ascii="Montserrat" w:hAnsi="Montserrat"/>
          <w:b/>
          <w:sz w:val="22"/>
          <w:szCs w:val="22"/>
        </w:rPr>
      </w:pPr>
      <w:r w:rsidRPr="00192892">
        <w:rPr>
          <w:rFonts w:ascii="Montserrat" w:hAnsi="Montserrat"/>
          <w:b/>
          <w:sz w:val="22"/>
          <w:szCs w:val="22"/>
        </w:rPr>
        <w:t>NOTAS DE MEMORIA</w:t>
      </w:r>
    </w:p>
    <w:p w14:paraId="7969A17A" w14:textId="77777777" w:rsidR="009A021D" w:rsidRPr="00192892" w:rsidRDefault="009A021D" w:rsidP="009A021D">
      <w:pPr>
        <w:rPr>
          <w:rFonts w:ascii="Montserrat" w:hAnsi="Montserrat"/>
          <w:bCs/>
          <w:sz w:val="22"/>
          <w:szCs w:val="22"/>
          <w:lang w:val="es-MX"/>
        </w:rPr>
      </w:pPr>
    </w:p>
    <w:p w14:paraId="6464B137" w14:textId="77777777" w:rsidR="009A021D" w:rsidRPr="00192892" w:rsidRDefault="009A021D" w:rsidP="009A021D">
      <w:pPr>
        <w:rPr>
          <w:rFonts w:ascii="Montserrat" w:hAnsi="Montserrat"/>
          <w:bCs/>
          <w:sz w:val="22"/>
          <w:szCs w:val="22"/>
          <w:lang w:val="es-MX"/>
        </w:rPr>
      </w:pPr>
    </w:p>
    <w:p w14:paraId="05EF7A67" w14:textId="77777777" w:rsidR="009A021D" w:rsidRPr="00192892" w:rsidRDefault="009A021D" w:rsidP="009A021D">
      <w:pPr>
        <w:jc w:val="both"/>
        <w:rPr>
          <w:rFonts w:ascii="Montserrat" w:eastAsia="Times New Roman" w:hAnsi="Montserrat" w:cs="Arial"/>
          <w:sz w:val="22"/>
          <w:szCs w:val="22"/>
        </w:rPr>
      </w:pPr>
      <w:r w:rsidRPr="00192892">
        <w:rPr>
          <w:rFonts w:ascii="Montserrat" w:eastAsia="Times New Roman" w:hAnsi="Montserrat" w:cs="Arial"/>
          <w:sz w:val="22"/>
          <w:szCs w:val="22"/>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4F3778B7" w14:textId="77777777" w:rsidR="009A021D" w:rsidRPr="00192892" w:rsidRDefault="009A021D" w:rsidP="009A021D">
      <w:pPr>
        <w:rPr>
          <w:rFonts w:ascii="Montserrat" w:hAnsi="Montserrat"/>
          <w:bCs/>
          <w:sz w:val="22"/>
          <w:szCs w:val="22"/>
          <w:lang w:val="es-MX"/>
        </w:rPr>
      </w:pPr>
    </w:p>
    <w:tbl>
      <w:tblPr>
        <w:tblW w:w="8856" w:type="dxa"/>
        <w:tblInd w:w="70" w:type="dxa"/>
        <w:tblCellMar>
          <w:left w:w="70" w:type="dxa"/>
          <w:right w:w="70" w:type="dxa"/>
        </w:tblCellMar>
        <w:tblLook w:val="04A0" w:firstRow="1" w:lastRow="0" w:firstColumn="1" w:lastColumn="0" w:noHBand="0" w:noVBand="1"/>
      </w:tblPr>
      <w:tblGrid>
        <w:gridCol w:w="1418"/>
        <w:gridCol w:w="4536"/>
        <w:gridCol w:w="2902"/>
      </w:tblGrid>
      <w:tr w:rsidR="00FD2DE6" w:rsidRPr="00192892" w14:paraId="75CDC878" w14:textId="77777777" w:rsidTr="004B3002">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E1EE045" w14:textId="77777777" w:rsidR="009A021D" w:rsidRPr="004B3002" w:rsidRDefault="009A021D" w:rsidP="009A021D">
            <w:pPr>
              <w:jc w:val="center"/>
              <w:rPr>
                <w:rFonts w:ascii="Montserrat" w:hAnsi="Montserrat" w:cs="Calibri"/>
                <w:b/>
                <w:sz w:val="22"/>
                <w:szCs w:val="22"/>
              </w:rPr>
            </w:pPr>
            <w:r w:rsidRPr="004B3002">
              <w:rPr>
                <w:rFonts w:ascii="Montserrat" w:hAnsi="Montserrat" w:cs="Calibri"/>
                <w:b/>
                <w:sz w:val="22"/>
                <w:szCs w:val="22"/>
              </w:rPr>
              <w:t>CUENTA</w:t>
            </w:r>
          </w:p>
        </w:tc>
        <w:tc>
          <w:tcPr>
            <w:tcW w:w="4536"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218E7E1A" w14:textId="77777777" w:rsidR="009A021D" w:rsidRPr="004B3002" w:rsidRDefault="009A021D" w:rsidP="009A021D">
            <w:pPr>
              <w:jc w:val="center"/>
              <w:rPr>
                <w:rFonts w:ascii="Montserrat" w:hAnsi="Montserrat" w:cs="Calibri"/>
                <w:b/>
                <w:sz w:val="22"/>
                <w:szCs w:val="22"/>
              </w:rPr>
            </w:pPr>
            <w:r w:rsidRPr="004B3002">
              <w:rPr>
                <w:rFonts w:ascii="Montserrat" w:hAnsi="Montserrat" w:cs="Calibri"/>
                <w:b/>
                <w:sz w:val="22"/>
                <w:szCs w:val="22"/>
              </w:rPr>
              <w:t>DESCRIPCIÓN</w:t>
            </w:r>
          </w:p>
        </w:tc>
        <w:tc>
          <w:tcPr>
            <w:tcW w:w="2902"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72886669" w14:textId="77777777" w:rsidR="009A021D" w:rsidRPr="004B3002" w:rsidRDefault="009A021D" w:rsidP="009A021D">
            <w:pPr>
              <w:jc w:val="center"/>
              <w:rPr>
                <w:rFonts w:ascii="Montserrat" w:hAnsi="Montserrat" w:cs="Calibri"/>
                <w:b/>
                <w:sz w:val="22"/>
                <w:szCs w:val="22"/>
              </w:rPr>
            </w:pPr>
            <w:r w:rsidRPr="004B3002">
              <w:rPr>
                <w:rFonts w:ascii="Montserrat" w:hAnsi="Montserrat" w:cs="Calibri"/>
                <w:b/>
                <w:sz w:val="22"/>
                <w:szCs w:val="22"/>
              </w:rPr>
              <w:t>DEBE</w:t>
            </w:r>
          </w:p>
        </w:tc>
      </w:tr>
      <w:tr w:rsidR="00FD2DE6" w:rsidRPr="00192892" w14:paraId="388D324D" w14:textId="77777777" w:rsidTr="007750B8">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0AD62" w14:textId="77777777" w:rsidR="009A021D" w:rsidRPr="00192892" w:rsidRDefault="009A021D" w:rsidP="009A021D">
            <w:pPr>
              <w:jc w:val="center"/>
              <w:rPr>
                <w:rFonts w:ascii="Montserrat" w:hAnsi="Montserrat" w:cs="Calibri"/>
                <w:bCs/>
                <w:sz w:val="22"/>
                <w:szCs w:val="22"/>
              </w:rPr>
            </w:pPr>
            <w:r w:rsidRPr="00192892">
              <w:rPr>
                <w:rFonts w:ascii="Montserrat" w:hAnsi="Montserrat" w:cs="Calibri"/>
                <w:bCs/>
                <w:sz w:val="22"/>
                <w:szCs w:val="22"/>
              </w:rPr>
              <w:t>7.7.2.3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3588A4E" w14:textId="77777777" w:rsidR="009A021D" w:rsidRPr="00192892" w:rsidRDefault="009A021D" w:rsidP="009A021D">
            <w:pPr>
              <w:rPr>
                <w:rFonts w:ascii="Montserrat" w:hAnsi="Montserrat"/>
                <w:bCs/>
                <w:sz w:val="22"/>
                <w:szCs w:val="22"/>
                <w:lang w:val="es-MX"/>
              </w:rPr>
            </w:pPr>
            <w:r w:rsidRPr="00192892">
              <w:rPr>
                <w:rFonts w:ascii="Montserrat" w:hAnsi="Montserrat"/>
                <w:bCs/>
                <w:sz w:val="22"/>
                <w:szCs w:val="22"/>
                <w:lang w:val="es-MX"/>
              </w:rPr>
              <w:t>Deuda Pública Municipal</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66BE95FF" w14:textId="715E8CC4" w:rsidR="009A021D" w:rsidRPr="00192892" w:rsidRDefault="002777EB" w:rsidP="009A021D">
            <w:pPr>
              <w:jc w:val="right"/>
              <w:rPr>
                <w:rFonts w:ascii="Montserrat" w:hAnsi="Montserrat"/>
                <w:bCs/>
                <w:sz w:val="22"/>
                <w:szCs w:val="22"/>
                <w:lang w:val="es-MX"/>
              </w:rPr>
            </w:pPr>
            <w:r w:rsidRPr="00192892">
              <w:rPr>
                <w:rFonts w:ascii="Montserrat" w:hAnsi="Montserrat"/>
                <w:bCs/>
                <w:sz w:val="22"/>
                <w:szCs w:val="22"/>
                <w:lang w:val="es-MX"/>
              </w:rPr>
              <w:t>24,169,069.14</w:t>
            </w:r>
          </w:p>
        </w:tc>
      </w:tr>
      <w:tr w:rsidR="00FD2DE6" w:rsidRPr="00192892" w14:paraId="3FAB0A5C" w14:textId="77777777" w:rsidTr="007750B8">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F8592" w14:textId="77777777" w:rsidR="009A021D" w:rsidRPr="00192892" w:rsidRDefault="009A021D" w:rsidP="009A021D">
            <w:pPr>
              <w:jc w:val="center"/>
              <w:rPr>
                <w:rFonts w:ascii="Montserrat" w:hAnsi="Montserrat" w:cs="Calibri"/>
                <w:bCs/>
                <w:sz w:val="22"/>
                <w:szCs w:val="22"/>
              </w:rPr>
            </w:pPr>
            <w:r w:rsidRPr="00192892">
              <w:rPr>
                <w:rFonts w:ascii="Montserrat" w:hAnsi="Montserrat" w:cs="Calibri"/>
                <w:bCs/>
                <w:sz w:val="22"/>
                <w:szCs w:val="22"/>
              </w:rPr>
              <w:t>7.7.4.1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3440477" w14:textId="77777777" w:rsidR="009A021D" w:rsidRPr="00192892" w:rsidRDefault="009A021D" w:rsidP="009A021D">
            <w:pPr>
              <w:rPr>
                <w:rFonts w:ascii="Montserrat" w:hAnsi="Montserrat"/>
                <w:bCs/>
                <w:sz w:val="22"/>
                <w:szCs w:val="22"/>
                <w:lang w:val="es-MX"/>
              </w:rPr>
            </w:pPr>
            <w:r w:rsidRPr="00192892">
              <w:rPr>
                <w:rFonts w:ascii="Montserrat" w:hAnsi="Montserrat"/>
                <w:bCs/>
                <w:sz w:val="22"/>
                <w:szCs w:val="22"/>
                <w:lang w:val="es-MX"/>
              </w:rPr>
              <w:t>Créditos fiscales por recuperar estatal y federal</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636BF536" w14:textId="5BF13DB6" w:rsidR="009A021D" w:rsidRPr="00192892" w:rsidRDefault="002777EB" w:rsidP="009A021D">
            <w:pPr>
              <w:jc w:val="right"/>
              <w:rPr>
                <w:rFonts w:ascii="Montserrat" w:hAnsi="Montserrat"/>
                <w:bCs/>
                <w:sz w:val="22"/>
                <w:szCs w:val="22"/>
                <w:lang w:val="es-MX"/>
              </w:rPr>
            </w:pPr>
            <w:r w:rsidRPr="00192892">
              <w:rPr>
                <w:rFonts w:ascii="Montserrat" w:hAnsi="Montserrat"/>
                <w:bCs/>
                <w:sz w:val="22"/>
                <w:szCs w:val="22"/>
                <w:lang w:val="es-MX"/>
              </w:rPr>
              <w:t>16,046,044,308.80</w:t>
            </w:r>
          </w:p>
        </w:tc>
      </w:tr>
      <w:tr w:rsidR="00FD2DE6" w:rsidRPr="00192892" w14:paraId="1A81E02E" w14:textId="77777777" w:rsidTr="007750B8">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51ED" w14:textId="77777777" w:rsidR="009A021D" w:rsidRPr="00192892" w:rsidRDefault="009A021D" w:rsidP="009A021D">
            <w:pPr>
              <w:jc w:val="center"/>
              <w:rPr>
                <w:rFonts w:ascii="Montserrat" w:hAnsi="Montserrat" w:cs="Calibri"/>
                <w:bCs/>
                <w:sz w:val="22"/>
                <w:szCs w:val="22"/>
              </w:rPr>
            </w:pPr>
            <w:r w:rsidRPr="00192892">
              <w:rPr>
                <w:rFonts w:ascii="Montserrat" w:hAnsi="Montserrat" w:cs="Calibri"/>
                <w:bCs/>
                <w:sz w:val="22"/>
                <w:szCs w:val="22"/>
              </w:rPr>
              <w:t>7.7.5.2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388B728" w14:textId="77777777" w:rsidR="009A021D" w:rsidRPr="00192892" w:rsidRDefault="009A021D" w:rsidP="009A021D">
            <w:pPr>
              <w:rPr>
                <w:rFonts w:ascii="Montserrat" w:hAnsi="Montserrat"/>
                <w:bCs/>
                <w:sz w:val="22"/>
                <w:szCs w:val="22"/>
                <w:lang w:val="es-MX"/>
              </w:rPr>
            </w:pPr>
            <w:r w:rsidRPr="00192892">
              <w:rPr>
                <w:rFonts w:ascii="Montserrat" w:hAnsi="Montserrat"/>
                <w:bCs/>
                <w:sz w:val="22"/>
                <w:szCs w:val="22"/>
                <w:lang w:val="es-MX"/>
              </w:rPr>
              <w:t>Otras obligaciones de pago</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4EE74D00" w14:textId="54AED15E" w:rsidR="009A021D" w:rsidRPr="00192892" w:rsidRDefault="002777EB" w:rsidP="009A021D">
            <w:pPr>
              <w:jc w:val="right"/>
              <w:rPr>
                <w:rFonts w:ascii="Montserrat" w:hAnsi="Montserrat"/>
                <w:bCs/>
                <w:sz w:val="22"/>
                <w:szCs w:val="22"/>
                <w:lang w:val="es-MX"/>
              </w:rPr>
            </w:pPr>
            <w:r w:rsidRPr="00192892">
              <w:rPr>
                <w:rFonts w:ascii="Montserrat" w:hAnsi="Montserrat"/>
                <w:bCs/>
                <w:sz w:val="22"/>
                <w:szCs w:val="22"/>
                <w:lang w:val="es-MX"/>
              </w:rPr>
              <w:t>1,534,235,126.00</w:t>
            </w:r>
          </w:p>
        </w:tc>
      </w:tr>
      <w:tr w:rsidR="00FD2DE6" w:rsidRPr="00192892" w14:paraId="0A5BB0E9" w14:textId="77777777" w:rsidTr="007750B8">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81FCC3" w14:textId="77777777" w:rsidR="009A021D" w:rsidRPr="00192892" w:rsidRDefault="009A021D" w:rsidP="009A021D">
            <w:pPr>
              <w:jc w:val="center"/>
              <w:rPr>
                <w:rFonts w:ascii="Montserrat" w:hAnsi="Montserrat" w:cs="Calibri"/>
                <w:bCs/>
                <w:sz w:val="22"/>
                <w:szCs w:val="22"/>
              </w:rPr>
            </w:pPr>
            <w:r w:rsidRPr="00192892">
              <w:rPr>
                <w:rFonts w:ascii="Montserrat" w:hAnsi="Montserrat" w:cs="Calibri"/>
                <w:bCs/>
                <w:sz w:val="22"/>
                <w:szCs w:val="22"/>
              </w:rPr>
              <w:t>7.8.1.1</w:t>
            </w:r>
          </w:p>
        </w:tc>
        <w:tc>
          <w:tcPr>
            <w:tcW w:w="4536" w:type="dxa"/>
            <w:tcBorders>
              <w:top w:val="single" w:sz="4" w:space="0" w:color="auto"/>
              <w:left w:val="nil"/>
              <w:bottom w:val="single" w:sz="4" w:space="0" w:color="auto"/>
              <w:right w:val="single" w:sz="4" w:space="0" w:color="auto"/>
            </w:tcBorders>
            <w:shd w:val="clear" w:color="auto" w:fill="auto"/>
            <w:vAlign w:val="center"/>
          </w:tcPr>
          <w:p w14:paraId="2CCA7339" w14:textId="77777777" w:rsidR="009A021D" w:rsidRPr="00192892" w:rsidRDefault="009A021D" w:rsidP="009A021D">
            <w:pPr>
              <w:rPr>
                <w:rFonts w:ascii="Montserrat" w:hAnsi="Montserrat"/>
                <w:bCs/>
                <w:sz w:val="22"/>
                <w:szCs w:val="22"/>
                <w:lang w:val="es-MX"/>
              </w:rPr>
            </w:pPr>
            <w:r w:rsidRPr="00192892">
              <w:rPr>
                <w:rFonts w:ascii="Montserrat" w:hAnsi="Montserrat"/>
                <w:bCs/>
                <w:sz w:val="22"/>
                <w:szCs w:val="22"/>
                <w:lang w:val="es-MX"/>
              </w:rPr>
              <w:t>Bienes arqueológicos, artísticos e históricos</w:t>
            </w:r>
          </w:p>
        </w:tc>
        <w:tc>
          <w:tcPr>
            <w:tcW w:w="2902" w:type="dxa"/>
            <w:tcBorders>
              <w:top w:val="single" w:sz="4" w:space="0" w:color="auto"/>
              <w:left w:val="nil"/>
              <w:bottom w:val="single" w:sz="4" w:space="0" w:color="auto"/>
              <w:right w:val="single" w:sz="4" w:space="0" w:color="auto"/>
            </w:tcBorders>
            <w:shd w:val="clear" w:color="auto" w:fill="auto"/>
            <w:vAlign w:val="center"/>
          </w:tcPr>
          <w:p w14:paraId="6DB315E4" w14:textId="77777777" w:rsidR="009A021D" w:rsidRPr="00192892" w:rsidRDefault="009A021D" w:rsidP="009A021D">
            <w:pPr>
              <w:jc w:val="right"/>
              <w:rPr>
                <w:rFonts w:ascii="Montserrat" w:hAnsi="Montserrat"/>
                <w:bCs/>
                <w:sz w:val="22"/>
                <w:szCs w:val="22"/>
                <w:lang w:val="es-MX"/>
              </w:rPr>
            </w:pPr>
            <w:r w:rsidRPr="00192892">
              <w:rPr>
                <w:rFonts w:ascii="Montserrat" w:hAnsi="Montserrat"/>
                <w:bCs/>
                <w:sz w:val="22"/>
                <w:szCs w:val="22"/>
                <w:lang w:val="es-MX"/>
              </w:rPr>
              <w:t>20.00</w:t>
            </w:r>
          </w:p>
        </w:tc>
      </w:tr>
      <w:tr w:rsidR="00977E4E" w:rsidRPr="00192892" w14:paraId="6D38DDDA" w14:textId="77777777" w:rsidTr="007750B8">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8F77" w14:textId="77777777" w:rsidR="009A021D" w:rsidRPr="00192892" w:rsidRDefault="009A021D" w:rsidP="009A021D">
            <w:pPr>
              <w:rPr>
                <w:rFonts w:ascii="Montserrat" w:hAnsi="Montserrat" w:cs="Calibri"/>
                <w:b/>
                <w:sz w:val="22"/>
                <w:szCs w:val="22"/>
              </w:rPr>
            </w:pPr>
            <w:r w:rsidRPr="00192892">
              <w:rPr>
                <w:rFonts w:ascii="Montserrat" w:hAnsi="Montserrat" w:cs="Calibri"/>
                <w:b/>
                <w:sz w:val="22"/>
                <w:szCs w:val="22"/>
              </w:rPr>
              <w:t> </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FF2CA9B" w14:textId="1741A111" w:rsidR="009A021D" w:rsidRPr="00192892" w:rsidRDefault="009A021D" w:rsidP="00977E4E">
            <w:pPr>
              <w:rPr>
                <w:rFonts w:ascii="Montserrat" w:hAnsi="Montserrat" w:cs="Calibri"/>
                <w:b/>
                <w:sz w:val="22"/>
                <w:szCs w:val="22"/>
              </w:rPr>
            </w:pPr>
            <w:r w:rsidRPr="00192892">
              <w:rPr>
                <w:rFonts w:ascii="Montserrat" w:hAnsi="Montserrat" w:cs="Calibri"/>
                <w:b/>
                <w:sz w:val="22"/>
                <w:szCs w:val="22"/>
              </w:rPr>
              <w:t>TOTA</w:t>
            </w:r>
            <w:r w:rsidR="00D917CF" w:rsidRPr="00192892">
              <w:rPr>
                <w:rFonts w:ascii="Montserrat" w:hAnsi="Montserrat" w:cs="Calibri"/>
                <w:b/>
                <w:sz w:val="22"/>
                <w:szCs w:val="22"/>
              </w:rPr>
              <w:t>L</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14:paraId="10537840" w14:textId="05BE92E7" w:rsidR="009A021D" w:rsidRPr="00192892" w:rsidRDefault="002777EB" w:rsidP="00D917CF">
            <w:pPr>
              <w:jc w:val="right"/>
              <w:rPr>
                <w:rFonts w:ascii="Montserrat" w:hAnsi="Montserrat" w:cs="Calibri"/>
                <w:b/>
                <w:sz w:val="22"/>
                <w:szCs w:val="22"/>
              </w:rPr>
            </w:pPr>
            <w:r w:rsidRPr="00192892">
              <w:rPr>
                <w:rFonts w:ascii="Montserrat" w:hAnsi="Montserrat" w:cs="Calibri"/>
                <w:b/>
                <w:sz w:val="22"/>
                <w:szCs w:val="22"/>
              </w:rPr>
              <w:t>17,604,448,523.94</w:t>
            </w:r>
          </w:p>
        </w:tc>
      </w:tr>
    </w:tbl>
    <w:p w14:paraId="39A3F3A6" w14:textId="77777777" w:rsidR="009A021D" w:rsidRPr="00192892" w:rsidRDefault="009A021D" w:rsidP="009A021D">
      <w:pPr>
        <w:rPr>
          <w:rFonts w:ascii="Montserrat" w:hAnsi="Montserrat"/>
          <w:b/>
          <w:sz w:val="22"/>
          <w:szCs w:val="22"/>
          <w:lang w:val="es-MX"/>
        </w:rPr>
      </w:pPr>
    </w:p>
    <w:p w14:paraId="61C70018" w14:textId="77777777" w:rsidR="009A021D" w:rsidRPr="00192892" w:rsidRDefault="009A021D" w:rsidP="009A021D">
      <w:pPr>
        <w:rPr>
          <w:rFonts w:ascii="Montserrat" w:eastAsia="Times New Roman" w:hAnsi="Montserrat" w:cs="Arial"/>
          <w:sz w:val="22"/>
          <w:szCs w:val="22"/>
        </w:rPr>
      </w:pPr>
      <w:r w:rsidRPr="00192892">
        <w:rPr>
          <w:rFonts w:ascii="Montserrat" w:eastAsia="Times New Roman" w:hAnsi="Montserrat" w:cs="Arial"/>
          <w:sz w:val="22"/>
          <w:szCs w:val="22"/>
        </w:rPr>
        <w:t>De estas cuentas es importante destacar la siguiente:</w:t>
      </w:r>
    </w:p>
    <w:p w14:paraId="2A5B7BED" w14:textId="77777777" w:rsidR="009A021D" w:rsidRPr="00192892" w:rsidRDefault="009A021D" w:rsidP="009A021D">
      <w:pPr>
        <w:rPr>
          <w:rFonts w:ascii="Montserrat" w:eastAsia="Times New Roman" w:hAnsi="Montserrat" w:cs="Arial"/>
          <w:sz w:val="22"/>
          <w:szCs w:val="22"/>
        </w:rPr>
      </w:pPr>
    </w:p>
    <w:p w14:paraId="12ADF975" w14:textId="77777777" w:rsidR="009A021D" w:rsidRPr="00192892" w:rsidRDefault="009A021D" w:rsidP="009A021D">
      <w:pPr>
        <w:rPr>
          <w:rFonts w:ascii="Montserrat" w:eastAsia="Times New Roman" w:hAnsi="Montserrat" w:cs="Arial"/>
          <w:sz w:val="22"/>
          <w:szCs w:val="22"/>
        </w:rPr>
      </w:pPr>
    </w:p>
    <w:p w14:paraId="3747C67C" w14:textId="77777777" w:rsidR="009A021D" w:rsidRPr="00192892" w:rsidRDefault="009A021D" w:rsidP="009A021D">
      <w:pPr>
        <w:rPr>
          <w:rFonts w:ascii="Montserrat" w:eastAsia="Times New Roman" w:hAnsi="Montserrat" w:cs="Arial"/>
          <w:b/>
          <w:bCs/>
          <w:sz w:val="22"/>
          <w:szCs w:val="22"/>
        </w:rPr>
      </w:pPr>
      <w:r w:rsidRPr="00192892">
        <w:rPr>
          <w:rFonts w:ascii="Montserrat" w:eastAsia="Times New Roman" w:hAnsi="Montserrat" w:cs="Arial"/>
          <w:b/>
          <w:bCs/>
          <w:sz w:val="22"/>
          <w:szCs w:val="22"/>
        </w:rPr>
        <w:t>CRÉDITOS BONOS CUPÓN CERO.</w:t>
      </w:r>
    </w:p>
    <w:p w14:paraId="579659BD" w14:textId="77777777" w:rsidR="009A021D" w:rsidRPr="00192892" w:rsidRDefault="009A021D" w:rsidP="009A021D">
      <w:pPr>
        <w:rPr>
          <w:rFonts w:ascii="Montserrat" w:eastAsia="Times New Roman" w:hAnsi="Montserrat" w:cs="Arial"/>
          <w:sz w:val="22"/>
          <w:szCs w:val="22"/>
          <w:highlight w:val="yellow"/>
        </w:rPr>
      </w:pPr>
    </w:p>
    <w:p w14:paraId="2421378B" w14:textId="77777777" w:rsidR="002777EB" w:rsidRPr="00192892" w:rsidRDefault="002777EB" w:rsidP="002777EB">
      <w:pPr>
        <w:jc w:val="both"/>
        <w:rPr>
          <w:rFonts w:ascii="Montserrat" w:hAnsi="Montserrat" w:cs="Arial"/>
          <w:bCs/>
          <w:sz w:val="22"/>
          <w:szCs w:val="22"/>
        </w:rPr>
      </w:pPr>
      <w:r w:rsidRPr="00192892">
        <w:rPr>
          <w:rFonts w:ascii="Montserrat" w:hAnsi="Montserrat" w:cs="Arial"/>
          <w:bCs/>
          <w:sz w:val="22"/>
          <w:szCs w:val="22"/>
        </w:rPr>
        <w:t xml:space="preserve">Se consideran en esta clasificación los créditos contratados derivados del Fondo de Reconstrucción para Entidades Federativas (FONREC) y el Fondo para la Implementación del Sistema de Justicia Penal de las Entidades Federativas (JUSTICIA PENAL), con líneas de crédito a través de BANOBRAS, con beneficios como el manejo de un bono cupón cero sin pago de capital, solo el pago de intereses por parte de los Estados beneficiados y con un plazo de 20 años. </w:t>
      </w:r>
    </w:p>
    <w:p w14:paraId="295CA1D8" w14:textId="77777777" w:rsidR="002777EB" w:rsidRPr="00192892" w:rsidRDefault="002777EB" w:rsidP="002777EB">
      <w:pPr>
        <w:jc w:val="both"/>
        <w:rPr>
          <w:rFonts w:ascii="Montserrat" w:hAnsi="Montserrat" w:cs="Arial"/>
          <w:bCs/>
          <w:sz w:val="22"/>
          <w:szCs w:val="22"/>
        </w:rPr>
      </w:pPr>
    </w:p>
    <w:p w14:paraId="61B9A6D8" w14:textId="77777777" w:rsidR="002777EB" w:rsidRPr="00192892" w:rsidRDefault="002777EB" w:rsidP="002777EB">
      <w:pPr>
        <w:jc w:val="both"/>
        <w:rPr>
          <w:rFonts w:ascii="Montserrat" w:hAnsi="Montserrat" w:cs="Arial"/>
          <w:bCs/>
          <w:sz w:val="22"/>
          <w:szCs w:val="22"/>
        </w:rPr>
      </w:pPr>
      <w:r w:rsidRPr="00192892">
        <w:rPr>
          <w:rFonts w:ascii="Montserrat" w:hAnsi="Montserrat" w:cs="Arial"/>
          <w:bCs/>
          <w:sz w:val="22"/>
          <w:szCs w:val="22"/>
        </w:rPr>
        <w:t>Es importante destacar, que para efectos informativos y de control el saldo de esta obligación se refleja en cuentas de orden contables y no como un pasivo directo dentro de los estados financieros del Poder Ejecutivo del Estado, esto debido a que la Federación será la encargada de pagar la amortización del capital.</w:t>
      </w:r>
    </w:p>
    <w:p w14:paraId="2A42A255" w14:textId="77777777" w:rsidR="002777EB" w:rsidRPr="00192892" w:rsidRDefault="002777EB" w:rsidP="002777EB">
      <w:pPr>
        <w:pStyle w:val="Prrafodelista"/>
        <w:ind w:left="0"/>
        <w:jc w:val="both"/>
        <w:rPr>
          <w:rFonts w:ascii="Montserrat" w:hAnsi="Montserrat" w:cs="Arial"/>
          <w:bCs/>
        </w:rPr>
      </w:pPr>
    </w:p>
    <w:p w14:paraId="7C080701" w14:textId="77777777" w:rsidR="002777EB" w:rsidRPr="00192892" w:rsidRDefault="002777EB" w:rsidP="00192892">
      <w:pPr>
        <w:keepNext/>
        <w:jc w:val="both"/>
        <w:rPr>
          <w:rFonts w:ascii="Montserrat" w:hAnsi="Montserrat" w:cs="Arial"/>
          <w:b/>
          <w:bCs/>
          <w:sz w:val="22"/>
          <w:szCs w:val="22"/>
        </w:rPr>
      </w:pPr>
      <w:r w:rsidRPr="00192892">
        <w:rPr>
          <w:rFonts w:ascii="Montserrat" w:hAnsi="Montserrat" w:cs="Arial"/>
          <w:b/>
          <w:bCs/>
          <w:sz w:val="22"/>
          <w:szCs w:val="22"/>
        </w:rPr>
        <w:lastRenderedPageBreak/>
        <w:t>Saldo y Costo Financiero de los Créditos Bono Cupón Cero.</w:t>
      </w:r>
    </w:p>
    <w:p w14:paraId="5B01BEFA" w14:textId="77777777" w:rsidR="002777EB" w:rsidRPr="00192892" w:rsidRDefault="002777EB" w:rsidP="00192892">
      <w:pPr>
        <w:pStyle w:val="Prrafodelista"/>
        <w:keepNext/>
        <w:ind w:left="0"/>
        <w:jc w:val="both"/>
        <w:rPr>
          <w:rFonts w:ascii="Montserrat" w:hAnsi="Montserrat" w:cs="Arial"/>
          <w:bCs/>
          <w:kern w:val="16"/>
        </w:rPr>
      </w:pPr>
    </w:p>
    <w:p w14:paraId="6D086259" w14:textId="77777777" w:rsidR="002777EB" w:rsidRPr="00192892" w:rsidRDefault="002777EB" w:rsidP="00192892">
      <w:pPr>
        <w:pStyle w:val="Prrafodelista"/>
        <w:keepNext/>
        <w:ind w:left="0"/>
        <w:jc w:val="both"/>
        <w:rPr>
          <w:rFonts w:ascii="Montserrat" w:hAnsi="Montserrat" w:cs="Arial"/>
          <w:bCs/>
          <w:color w:val="000000" w:themeColor="text1"/>
          <w:kern w:val="16"/>
        </w:rPr>
      </w:pPr>
      <w:r w:rsidRPr="00192892">
        <w:rPr>
          <w:rFonts w:ascii="Montserrat" w:hAnsi="Montserrat" w:cs="Arial"/>
          <w:bCs/>
          <w:color w:val="000000" w:themeColor="text1"/>
          <w:kern w:val="16"/>
        </w:rPr>
        <w:t>El saldo bruto de los Créditos Bono Cupón Cero asciende a 1,534 millones 235 mil 126 pesos, integrado por el crédito Banobras JUSTICIA PENAL por 398 millones 859 mil 429 pesos y el crédito Banobras FONREC por un monto de 1,135 millones 375 mil 697 pesos.</w:t>
      </w:r>
    </w:p>
    <w:p w14:paraId="75B1CEE3" w14:textId="77777777" w:rsidR="002777EB" w:rsidRPr="00192892" w:rsidRDefault="002777EB" w:rsidP="002777EB">
      <w:pPr>
        <w:tabs>
          <w:tab w:val="left" w:pos="6540"/>
        </w:tabs>
        <w:contextualSpacing/>
        <w:jc w:val="both"/>
        <w:rPr>
          <w:rFonts w:ascii="Montserrat" w:hAnsi="Montserrat" w:cs="Arial"/>
          <w:bCs/>
          <w:color w:val="000000" w:themeColor="text1"/>
          <w:kern w:val="16"/>
          <w:sz w:val="22"/>
          <w:szCs w:val="22"/>
          <w:lang w:val="es-MX"/>
        </w:rPr>
      </w:pPr>
      <w:r w:rsidRPr="00192892">
        <w:rPr>
          <w:rFonts w:ascii="Montserrat" w:hAnsi="Montserrat" w:cs="Arial"/>
          <w:bCs/>
          <w:color w:val="000000" w:themeColor="text1"/>
          <w:kern w:val="16"/>
          <w:sz w:val="22"/>
          <w:szCs w:val="22"/>
          <w:lang w:val="es-MX"/>
        </w:rPr>
        <w:tab/>
      </w:r>
    </w:p>
    <w:p w14:paraId="415AE3A9" w14:textId="77777777" w:rsidR="002777EB" w:rsidRPr="00192892" w:rsidRDefault="002777EB" w:rsidP="002777EB">
      <w:pPr>
        <w:contextualSpacing/>
        <w:jc w:val="both"/>
        <w:rPr>
          <w:rFonts w:ascii="Montserrat" w:hAnsi="Montserrat" w:cs="Arial"/>
          <w:bCs/>
          <w:color w:val="000000" w:themeColor="text1"/>
          <w:kern w:val="16"/>
          <w:sz w:val="22"/>
          <w:szCs w:val="22"/>
        </w:rPr>
      </w:pPr>
      <w:r w:rsidRPr="00192892">
        <w:rPr>
          <w:rFonts w:ascii="Montserrat" w:hAnsi="Montserrat" w:cs="Arial"/>
          <w:bCs/>
          <w:color w:val="000000" w:themeColor="text1"/>
          <w:kern w:val="16"/>
          <w:sz w:val="22"/>
          <w:szCs w:val="22"/>
        </w:rPr>
        <w:t xml:space="preserve">El valor de las acciones de los Bonos Cupón Cero, que fueron adquiridas por la Federación, para el pago de la amortización anticipada voluntaria parcial o total de los créditos, al cierre del trimestre asciende a 556 millones 387 mil 99 pesos, aplicando el valor nominal de los bonos cupón cero, el saldo neto se reduce a 977 millones 848 mil 27 pesos. </w:t>
      </w:r>
    </w:p>
    <w:p w14:paraId="56DC9459" w14:textId="77777777" w:rsidR="002777EB" w:rsidRPr="00192892" w:rsidRDefault="002777EB" w:rsidP="002777EB">
      <w:pPr>
        <w:tabs>
          <w:tab w:val="left" w:pos="8790"/>
        </w:tabs>
        <w:contextualSpacing/>
        <w:jc w:val="both"/>
        <w:rPr>
          <w:rFonts w:ascii="Montserrat" w:hAnsi="Montserrat" w:cs="Arial"/>
          <w:spacing w:val="20"/>
          <w:sz w:val="22"/>
          <w:szCs w:val="22"/>
        </w:rPr>
      </w:pPr>
      <w:r w:rsidRPr="00192892">
        <w:rPr>
          <w:rFonts w:ascii="Montserrat" w:hAnsi="Montserrat" w:cs="Arial"/>
          <w:spacing w:val="20"/>
          <w:sz w:val="22"/>
          <w:szCs w:val="22"/>
        </w:rPr>
        <w:tab/>
      </w:r>
    </w:p>
    <w:p w14:paraId="6733FEE2" w14:textId="77777777" w:rsidR="002777EB" w:rsidRPr="00192892" w:rsidRDefault="002777EB" w:rsidP="002777EB">
      <w:pPr>
        <w:pStyle w:val="Prrafodelista"/>
        <w:ind w:left="0"/>
        <w:jc w:val="both"/>
        <w:rPr>
          <w:rFonts w:ascii="Montserrat" w:hAnsi="Montserrat" w:cs="Arial"/>
          <w:bCs/>
          <w:kern w:val="16"/>
        </w:rPr>
      </w:pPr>
      <w:r w:rsidRPr="00192892">
        <w:rPr>
          <w:rFonts w:ascii="Montserrat" w:hAnsi="Montserrat" w:cs="Arial"/>
          <w:bCs/>
          <w:kern w:val="16"/>
        </w:rPr>
        <w:t>Se realizaron pagos de intereses de los financiamientos y honorarios fiduciarios por administración de los fideicomisos, por la cantidad de 99 millones 520 mil 904 pesos, los cuales se ejercieron con recursos de Participaciones.</w:t>
      </w:r>
    </w:p>
    <w:p w14:paraId="5B0CE5C9" w14:textId="77777777" w:rsidR="002777EB" w:rsidRDefault="002777EB" w:rsidP="002777EB">
      <w:pPr>
        <w:contextualSpacing/>
        <w:jc w:val="both"/>
        <w:rPr>
          <w:rFonts w:ascii="Montserrat" w:hAnsi="Montserrat" w:cs="Arial"/>
          <w:spacing w:val="20"/>
          <w:sz w:val="22"/>
          <w:szCs w:val="22"/>
          <w:lang w:val="es-MX"/>
        </w:rPr>
      </w:pPr>
    </w:p>
    <w:p w14:paraId="4EB25C17" w14:textId="4929030B" w:rsidR="00192892" w:rsidRPr="00192892" w:rsidRDefault="0083243A" w:rsidP="002777EB">
      <w:pPr>
        <w:contextualSpacing/>
        <w:jc w:val="both"/>
        <w:rPr>
          <w:rFonts w:ascii="Montserrat" w:hAnsi="Montserrat" w:cs="Arial"/>
          <w:spacing w:val="20"/>
          <w:sz w:val="22"/>
          <w:szCs w:val="22"/>
          <w:lang w:val="es-MX"/>
        </w:rPr>
      </w:pPr>
      <w:r>
        <w:rPr>
          <w:rFonts w:ascii="Montserrat" w:hAnsi="Montserrat" w:cs="Arial"/>
          <w:spacing w:val="20"/>
          <w:sz w:val="22"/>
          <w:szCs w:val="22"/>
          <w:lang w:val="es-MX"/>
        </w:rPr>
        <w:tab/>
      </w:r>
      <w:r>
        <w:rPr>
          <w:rFonts w:ascii="Montserrat" w:hAnsi="Montserrat" w:cs="Arial"/>
          <w:spacing w:val="20"/>
          <w:sz w:val="22"/>
          <w:szCs w:val="22"/>
          <w:lang w:val="es-MX"/>
        </w:rPr>
        <w:tab/>
      </w:r>
    </w:p>
    <w:tbl>
      <w:tblPr>
        <w:tblW w:w="9700" w:type="dxa"/>
        <w:jc w:val="center"/>
        <w:tblCellMar>
          <w:left w:w="70" w:type="dxa"/>
          <w:right w:w="70" w:type="dxa"/>
        </w:tblCellMar>
        <w:tblLook w:val="04A0" w:firstRow="1" w:lastRow="0" w:firstColumn="1" w:lastColumn="0" w:noHBand="0" w:noVBand="1"/>
      </w:tblPr>
      <w:tblGrid>
        <w:gridCol w:w="2308"/>
        <w:gridCol w:w="1378"/>
        <w:gridCol w:w="1516"/>
        <w:gridCol w:w="1533"/>
        <w:gridCol w:w="1464"/>
        <w:gridCol w:w="1501"/>
      </w:tblGrid>
      <w:tr w:rsidR="002777EB" w:rsidRPr="00192892" w14:paraId="3854A863" w14:textId="77777777" w:rsidTr="00192892">
        <w:trPr>
          <w:trHeight w:val="221"/>
          <w:jc w:val="center"/>
        </w:trPr>
        <w:tc>
          <w:tcPr>
            <w:tcW w:w="9700" w:type="dxa"/>
            <w:gridSpan w:val="6"/>
            <w:tcBorders>
              <w:top w:val="nil"/>
              <w:left w:val="nil"/>
              <w:bottom w:val="nil"/>
              <w:right w:val="nil"/>
            </w:tcBorders>
            <w:shd w:val="clear" w:color="auto" w:fill="auto"/>
            <w:noWrap/>
            <w:vAlign w:val="bottom"/>
            <w:hideMark/>
          </w:tcPr>
          <w:p w14:paraId="18D82D75"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SALDO Y COSTO FINANCIERO DE LOS CRÉDITOS BONO CUPÓN CERO</w:t>
            </w:r>
          </w:p>
        </w:tc>
      </w:tr>
      <w:tr w:rsidR="002777EB" w:rsidRPr="00192892" w14:paraId="21BCF6A2" w14:textId="77777777" w:rsidTr="00192892">
        <w:trPr>
          <w:trHeight w:val="238"/>
          <w:jc w:val="center"/>
        </w:trPr>
        <w:tc>
          <w:tcPr>
            <w:tcW w:w="9700" w:type="dxa"/>
            <w:gridSpan w:val="6"/>
            <w:tcBorders>
              <w:top w:val="nil"/>
              <w:left w:val="nil"/>
              <w:bottom w:val="nil"/>
              <w:right w:val="nil"/>
            </w:tcBorders>
            <w:shd w:val="clear" w:color="auto" w:fill="auto"/>
            <w:noWrap/>
            <w:vAlign w:val="center"/>
            <w:hideMark/>
          </w:tcPr>
          <w:p w14:paraId="22CCB15D"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(Pesos)</w:t>
            </w:r>
          </w:p>
        </w:tc>
      </w:tr>
      <w:tr w:rsidR="002777EB" w:rsidRPr="00192892" w14:paraId="38954A92" w14:textId="77777777" w:rsidTr="00192892">
        <w:trPr>
          <w:trHeight w:val="369"/>
          <w:jc w:val="center"/>
        </w:trPr>
        <w:tc>
          <w:tcPr>
            <w:tcW w:w="2308" w:type="dxa"/>
            <w:vMerge w:val="restart"/>
            <w:tcBorders>
              <w:top w:val="single" w:sz="8" w:space="0" w:color="000000"/>
              <w:left w:val="single" w:sz="8" w:space="0" w:color="000000"/>
              <w:bottom w:val="nil"/>
              <w:right w:val="nil"/>
            </w:tcBorders>
            <w:shd w:val="clear" w:color="auto" w:fill="auto"/>
            <w:vAlign w:val="center"/>
            <w:hideMark/>
          </w:tcPr>
          <w:p w14:paraId="694E6104"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CONCEPTO</w:t>
            </w:r>
          </w:p>
        </w:tc>
        <w:tc>
          <w:tcPr>
            <w:tcW w:w="1378" w:type="dxa"/>
            <w:vMerge w:val="restart"/>
            <w:tcBorders>
              <w:top w:val="single" w:sz="8" w:space="0" w:color="000000"/>
              <w:left w:val="nil"/>
              <w:bottom w:val="nil"/>
              <w:right w:val="nil"/>
            </w:tcBorders>
            <w:shd w:val="clear" w:color="auto" w:fill="auto"/>
            <w:vAlign w:val="center"/>
            <w:hideMark/>
          </w:tcPr>
          <w:p w14:paraId="7EECD12F"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MONTO LINEA CRÉDITO</w:t>
            </w:r>
          </w:p>
        </w:tc>
        <w:tc>
          <w:tcPr>
            <w:tcW w:w="1516" w:type="dxa"/>
            <w:vMerge w:val="restart"/>
            <w:tcBorders>
              <w:top w:val="single" w:sz="8" w:space="0" w:color="000000"/>
              <w:left w:val="nil"/>
              <w:bottom w:val="nil"/>
              <w:right w:val="nil"/>
            </w:tcBorders>
            <w:shd w:val="clear" w:color="auto" w:fill="auto"/>
            <w:vAlign w:val="center"/>
            <w:hideMark/>
          </w:tcPr>
          <w:p w14:paraId="5E21E624"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MONTO DISPUESTO</w:t>
            </w:r>
          </w:p>
        </w:tc>
        <w:tc>
          <w:tcPr>
            <w:tcW w:w="1533" w:type="dxa"/>
            <w:vMerge w:val="restart"/>
            <w:tcBorders>
              <w:top w:val="single" w:sz="8" w:space="0" w:color="000000"/>
              <w:left w:val="nil"/>
              <w:bottom w:val="nil"/>
              <w:right w:val="nil"/>
            </w:tcBorders>
            <w:shd w:val="clear" w:color="auto" w:fill="auto"/>
            <w:vAlign w:val="center"/>
            <w:hideMark/>
          </w:tcPr>
          <w:p w14:paraId="5586ECD6"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VALOR NOMINAL DEL BONO CUPON CERO /1</w:t>
            </w:r>
          </w:p>
        </w:tc>
        <w:tc>
          <w:tcPr>
            <w:tcW w:w="1464" w:type="dxa"/>
            <w:vMerge w:val="restart"/>
            <w:tcBorders>
              <w:top w:val="single" w:sz="8" w:space="0" w:color="000000"/>
              <w:left w:val="nil"/>
              <w:bottom w:val="nil"/>
              <w:right w:val="nil"/>
            </w:tcBorders>
            <w:shd w:val="clear" w:color="auto" w:fill="auto"/>
            <w:vAlign w:val="center"/>
            <w:hideMark/>
          </w:tcPr>
          <w:p w14:paraId="3438ADF3"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SALDO NETO SEPTIEMBRE 2024</w:t>
            </w:r>
          </w:p>
        </w:tc>
        <w:tc>
          <w:tcPr>
            <w:tcW w:w="1501"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7D7625CE"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 xml:space="preserve">COSTO FINANCIERO </w:t>
            </w:r>
            <w:r w:rsidRPr="00192892">
              <w:rPr>
                <w:rFonts w:ascii="Montserrat" w:hAnsi="Montserrat" w:cs="Calibri"/>
                <w:b/>
                <w:bCs/>
                <w:sz w:val="14"/>
                <w:szCs w:val="14"/>
                <w:lang w:val="es-MX"/>
              </w:rPr>
              <w:br/>
              <w:t>ENERO-SEPTIEMBRE/24</w:t>
            </w:r>
          </w:p>
        </w:tc>
      </w:tr>
      <w:tr w:rsidR="002777EB" w:rsidRPr="00192892" w14:paraId="31299F1D" w14:textId="77777777" w:rsidTr="00192892">
        <w:trPr>
          <w:trHeight w:val="293"/>
          <w:jc w:val="center"/>
        </w:trPr>
        <w:tc>
          <w:tcPr>
            <w:tcW w:w="2308" w:type="dxa"/>
            <w:vMerge/>
            <w:tcBorders>
              <w:top w:val="single" w:sz="8" w:space="0" w:color="000000"/>
              <w:left w:val="single" w:sz="8" w:space="0" w:color="000000"/>
              <w:bottom w:val="nil"/>
              <w:right w:val="nil"/>
            </w:tcBorders>
            <w:vAlign w:val="center"/>
            <w:hideMark/>
          </w:tcPr>
          <w:p w14:paraId="525A8AE5" w14:textId="77777777" w:rsidR="002777EB" w:rsidRPr="00192892" w:rsidRDefault="002777EB" w:rsidP="00FA0078">
            <w:pPr>
              <w:rPr>
                <w:rFonts w:ascii="Montserrat" w:hAnsi="Montserrat" w:cs="Calibri"/>
                <w:b/>
                <w:bCs/>
                <w:sz w:val="14"/>
                <w:szCs w:val="14"/>
                <w:lang w:val="es-MX"/>
              </w:rPr>
            </w:pPr>
          </w:p>
        </w:tc>
        <w:tc>
          <w:tcPr>
            <w:tcW w:w="1378" w:type="dxa"/>
            <w:vMerge/>
            <w:tcBorders>
              <w:top w:val="single" w:sz="8" w:space="0" w:color="000000"/>
              <w:left w:val="nil"/>
              <w:bottom w:val="nil"/>
              <w:right w:val="nil"/>
            </w:tcBorders>
            <w:vAlign w:val="center"/>
            <w:hideMark/>
          </w:tcPr>
          <w:p w14:paraId="768F5472" w14:textId="77777777" w:rsidR="002777EB" w:rsidRPr="00192892" w:rsidRDefault="002777EB" w:rsidP="00FA0078">
            <w:pPr>
              <w:rPr>
                <w:rFonts w:ascii="Montserrat" w:hAnsi="Montserrat" w:cs="Calibri"/>
                <w:b/>
                <w:bCs/>
                <w:sz w:val="14"/>
                <w:szCs w:val="14"/>
                <w:lang w:val="es-MX"/>
              </w:rPr>
            </w:pPr>
          </w:p>
        </w:tc>
        <w:tc>
          <w:tcPr>
            <w:tcW w:w="1516" w:type="dxa"/>
            <w:vMerge/>
            <w:tcBorders>
              <w:top w:val="single" w:sz="8" w:space="0" w:color="000000"/>
              <w:left w:val="nil"/>
              <w:bottom w:val="nil"/>
              <w:right w:val="nil"/>
            </w:tcBorders>
            <w:vAlign w:val="center"/>
            <w:hideMark/>
          </w:tcPr>
          <w:p w14:paraId="73A790C6" w14:textId="77777777" w:rsidR="002777EB" w:rsidRPr="00192892" w:rsidRDefault="002777EB" w:rsidP="00FA0078">
            <w:pPr>
              <w:rPr>
                <w:rFonts w:ascii="Montserrat" w:hAnsi="Montserrat" w:cs="Calibri"/>
                <w:b/>
                <w:bCs/>
                <w:sz w:val="14"/>
                <w:szCs w:val="14"/>
                <w:lang w:val="es-MX"/>
              </w:rPr>
            </w:pPr>
          </w:p>
        </w:tc>
        <w:tc>
          <w:tcPr>
            <w:tcW w:w="1533" w:type="dxa"/>
            <w:vMerge/>
            <w:tcBorders>
              <w:top w:val="single" w:sz="8" w:space="0" w:color="000000"/>
              <w:left w:val="nil"/>
              <w:bottom w:val="nil"/>
              <w:right w:val="nil"/>
            </w:tcBorders>
            <w:vAlign w:val="center"/>
            <w:hideMark/>
          </w:tcPr>
          <w:p w14:paraId="7E69E367" w14:textId="77777777" w:rsidR="002777EB" w:rsidRPr="00192892" w:rsidRDefault="002777EB" w:rsidP="00FA0078">
            <w:pPr>
              <w:rPr>
                <w:rFonts w:ascii="Montserrat" w:hAnsi="Montserrat" w:cs="Calibri"/>
                <w:b/>
                <w:bCs/>
                <w:sz w:val="14"/>
                <w:szCs w:val="14"/>
                <w:lang w:val="es-MX"/>
              </w:rPr>
            </w:pPr>
          </w:p>
        </w:tc>
        <w:tc>
          <w:tcPr>
            <w:tcW w:w="1464" w:type="dxa"/>
            <w:vMerge/>
            <w:tcBorders>
              <w:top w:val="single" w:sz="8" w:space="0" w:color="000000"/>
              <w:left w:val="nil"/>
              <w:bottom w:val="nil"/>
              <w:right w:val="nil"/>
            </w:tcBorders>
            <w:vAlign w:val="center"/>
            <w:hideMark/>
          </w:tcPr>
          <w:p w14:paraId="3F45E0C7" w14:textId="77777777" w:rsidR="002777EB" w:rsidRPr="00192892" w:rsidRDefault="002777EB" w:rsidP="00FA0078">
            <w:pPr>
              <w:rPr>
                <w:rFonts w:ascii="Montserrat" w:hAnsi="Montserrat" w:cs="Calibri"/>
                <w:b/>
                <w:bCs/>
                <w:sz w:val="14"/>
                <w:szCs w:val="14"/>
                <w:lang w:val="es-MX"/>
              </w:rPr>
            </w:pPr>
          </w:p>
        </w:tc>
        <w:tc>
          <w:tcPr>
            <w:tcW w:w="1501" w:type="dxa"/>
            <w:vMerge/>
            <w:tcBorders>
              <w:top w:val="single" w:sz="8" w:space="0" w:color="000000"/>
              <w:left w:val="nil"/>
              <w:bottom w:val="single" w:sz="8" w:space="0" w:color="000000"/>
              <w:right w:val="single" w:sz="8" w:space="0" w:color="000000"/>
            </w:tcBorders>
            <w:vAlign w:val="center"/>
            <w:hideMark/>
          </w:tcPr>
          <w:p w14:paraId="76CCFD98" w14:textId="77777777" w:rsidR="002777EB" w:rsidRPr="00192892" w:rsidRDefault="002777EB" w:rsidP="00FA0078">
            <w:pPr>
              <w:rPr>
                <w:rFonts w:ascii="Montserrat" w:hAnsi="Montserrat" w:cs="Calibri"/>
                <w:b/>
                <w:bCs/>
                <w:sz w:val="14"/>
                <w:szCs w:val="14"/>
                <w:lang w:val="es-MX"/>
              </w:rPr>
            </w:pPr>
          </w:p>
        </w:tc>
      </w:tr>
      <w:tr w:rsidR="002777EB" w:rsidRPr="00192892" w14:paraId="09F4414F" w14:textId="77777777" w:rsidTr="00192892">
        <w:trPr>
          <w:trHeight w:val="202"/>
          <w:jc w:val="center"/>
        </w:trPr>
        <w:tc>
          <w:tcPr>
            <w:tcW w:w="2308" w:type="dxa"/>
            <w:tcBorders>
              <w:top w:val="nil"/>
              <w:left w:val="single" w:sz="8" w:space="0" w:color="000000"/>
              <w:bottom w:val="single" w:sz="8" w:space="0" w:color="000000"/>
              <w:right w:val="nil"/>
            </w:tcBorders>
            <w:shd w:val="clear" w:color="auto" w:fill="auto"/>
            <w:vAlign w:val="center"/>
            <w:hideMark/>
          </w:tcPr>
          <w:p w14:paraId="24C9EEC8"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 </w:t>
            </w:r>
          </w:p>
        </w:tc>
        <w:tc>
          <w:tcPr>
            <w:tcW w:w="1378" w:type="dxa"/>
            <w:tcBorders>
              <w:top w:val="nil"/>
              <w:left w:val="nil"/>
              <w:bottom w:val="single" w:sz="8" w:space="0" w:color="000000"/>
              <w:right w:val="nil"/>
            </w:tcBorders>
            <w:shd w:val="clear" w:color="auto" w:fill="auto"/>
            <w:vAlign w:val="center"/>
            <w:hideMark/>
          </w:tcPr>
          <w:p w14:paraId="71DA40ED"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 </w:t>
            </w:r>
          </w:p>
        </w:tc>
        <w:tc>
          <w:tcPr>
            <w:tcW w:w="1516" w:type="dxa"/>
            <w:tcBorders>
              <w:top w:val="nil"/>
              <w:left w:val="nil"/>
              <w:bottom w:val="single" w:sz="8" w:space="0" w:color="000000"/>
              <w:right w:val="nil"/>
            </w:tcBorders>
            <w:shd w:val="clear" w:color="auto" w:fill="auto"/>
            <w:vAlign w:val="bottom"/>
            <w:hideMark/>
          </w:tcPr>
          <w:p w14:paraId="5CF9AEDE"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(A)</w:t>
            </w:r>
          </w:p>
        </w:tc>
        <w:tc>
          <w:tcPr>
            <w:tcW w:w="1533" w:type="dxa"/>
            <w:tcBorders>
              <w:top w:val="nil"/>
              <w:left w:val="nil"/>
              <w:bottom w:val="single" w:sz="8" w:space="0" w:color="000000"/>
              <w:right w:val="nil"/>
            </w:tcBorders>
            <w:shd w:val="clear" w:color="000000" w:fill="FFFFFF"/>
            <w:vAlign w:val="bottom"/>
            <w:hideMark/>
          </w:tcPr>
          <w:p w14:paraId="71B674B4"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(B)</w:t>
            </w:r>
          </w:p>
        </w:tc>
        <w:tc>
          <w:tcPr>
            <w:tcW w:w="1464" w:type="dxa"/>
            <w:tcBorders>
              <w:top w:val="nil"/>
              <w:left w:val="nil"/>
              <w:bottom w:val="single" w:sz="8" w:space="0" w:color="000000"/>
              <w:right w:val="nil"/>
            </w:tcBorders>
            <w:shd w:val="clear" w:color="auto" w:fill="auto"/>
            <w:vAlign w:val="bottom"/>
            <w:hideMark/>
          </w:tcPr>
          <w:p w14:paraId="7FA81978" w14:textId="77777777" w:rsidR="002777EB" w:rsidRPr="00192892" w:rsidRDefault="002777EB" w:rsidP="00FA0078">
            <w:pPr>
              <w:jc w:val="center"/>
              <w:rPr>
                <w:rFonts w:ascii="Montserrat" w:hAnsi="Montserrat" w:cs="Calibri"/>
                <w:b/>
                <w:bCs/>
                <w:sz w:val="14"/>
                <w:szCs w:val="14"/>
                <w:lang w:val="es-MX"/>
              </w:rPr>
            </w:pPr>
            <w:r w:rsidRPr="00192892">
              <w:rPr>
                <w:rFonts w:ascii="Montserrat" w:hAnsi="Montserrat" w:cs="Calibri"/>
                <w:b/>
                <w:bCs/>
                <w:sz w:val="14"/>
                <w:szCs w:val="14"/>
                <w:lang w:val="es-MX"/>
              </w:rPr>
              <w:t>C = ( A -B)</w:t>
            </w:r>
          </w:p>
        </w:tc>
        <w:tc>
          <w:tcPr>
            <w:tcW w:w="1501" w:type="dxa"/>
            <w:vMerge/>
            <w:tcBorders>
              <w:top w:val="single" w:sz="8" w:space="0" w:color="000000"/>
              <w:left w:val="nil"/>
              <w:bottom w:val="single" w:sz="8" w:space="0" w:color="000000"/>
              <w:right w:val="single" w:sz="8" w:space="0" w:color="000000"/>
            </w:tcBorders>
            <w:vAlign w:val="center"/>
            <w:hideMark/>
          </w:tcPr>
          <w:p w14:paraId="6EE60900" w14:textId="77777777" w:rsidR="002777EB" w:rsidRPr="00192892" w:rsidRDefault="002777EB" w:rsidP="00FA0078">
            <w:pPr>
              <w:rPr>
                <w:rFonts w:ascii="Montserrat" w:hAnsi="Montserrat" w:cs="Calibri"/>
                <w:b/>
                <w:bCs/>
                <w:sz w:val="14"/>
                <w:szCs w:val="14"/>
                <w:lang w:val="es-MX"/>
              </w:rPr>
            </w:pPr>
          </w:p>
        </w:tc>
      </w:tr>
      <w:tr w:rsidR="002777EB" w:rsidRPr="00192892" w14:paraId="437C3590" w14:textId="77777777" w:rsidTr="00192892">
        <w:trPr>
          <w:trHeight w:val="274"/>
          <w:jc w:val="center"/>
        </w:trPr>
        <w:tc>
          <w:tcPr>
            <w:tcW w:w="2308" w:type="dxa"/>
            <w:tcBorders>
              <w:top w:val="nil"/>
              <w:left w:val="single" w:sz="8" w:space="0" w:color="000000"/>
              <w:bottom w:val="nil"/>
              <w:right w:val="nil"/>
            </w:tcBorders>
            <w:shd w:val="clear" w:color="000000" w:fill="FFFFFF"/>
            <w:vAlign w:val="center"/>
            <w:hideMark/>
          </w:tcPr>
          <w:p w14:paraId="7A7A345C" w14:textId="77777777" w:rsidR="002777EB" w:rsidRPr="00192892" w:rsidRDefault="002777EB" w:rsidP="00FA0078">
            <w:pPr>
              <w:jc w:val="right"/>
              <w:rPr>
                <w:rFonts w:ascii="Montserrat" w:hAnsi="Montserrat" w:cs="Calibri"/>
                <w:b/>
                <w:bCs/>
                <w:sz w:val="14"/>
                <w:szCs w:val="14"/>
                <w:lang w:val="es-MX"/>
              </w:rPr>
            </w:pPr>
            <w:r w:rsidRPr="00192892">
              <w:rPr>
                <w:rFonts w:ascii="Montserrat" w:hAnsi="Montserrat" w:cs="Calibri"/>
                <w:b/>
                <w:bCs/>
                <w:sz w:val="14"/>
                <w:szCs w:val="14"/>
                <w:lang w:val="es-MX"/>
              </w:rPr>
              <w:t>TOTAL</w:t>
            </w:r>
          </w:p>
        </w:tc>
        <w:tc>
          <w:tcPr>
            <w:tcW w:w="1378" w:type="dxa"/>
            <w:tcBorders>
              <w:top w:val="nil"/>
              <w:left w:val="nil"/>
              <w:bottom w:val="nil"/>
              <w:right w:val="nil"/>
            </w:tcBorders>
            <w:shd w:val="clear" w:color="000000" w:fill="FFFFFF"/>
            <w:vAlign w:val="center"/>
            <w:hideMark/>
          </w:tcPr>
          <w:p w14:paraId="3D37A442" w14:textId="77777777" w:rsidR="002777EB" w:rsidRPr="00192892" w:rsidRDefault="002777EB" w:rsidP="00FA0078">
            <w:pPr>
              <w:rPr>
                <w:rFonts w:ascii="Montserrat" w:hAnsi="Montserrat" w:cs="Calibri"/>
                <w:b/>
                <w:bCs/>
                <w:sz w:val="14"/>
                <w:szCs w:val="14"/>
                <w:lang w:val="es-MX"/>
              </w:rPr>
            </w:pPr>
            <w:r w:rsidRPr="00192892">
              <w:rPr>
                <w:rFonts w:ascii="Montserrat" w:hAnsi="Montserrat" w:cs="Calibri"/>
                <w:b/>
                <w:bCs/>
                <w:sz w:val="14"/>
                <w:szCs w:val="14"/>
                <w:lang w:val="es-MX"/>
              </w:rPr>
              <w:t> </w:t>
            </w:r>
          </w:p>
        </w:tc>
        <w:tc>
          <w:tcPr>
            <w:tcW w:w="1516" w:type="dxa"/>
            <w:tcBorders>
              <w:top w:val="nil"/>
              <w:left w:val="nil"/>
              <w:bottom w:val="nil"/>
              <w:right w:val="nil"/>
            </w:tcBorders>
            <w:shd w:val="clear" w:color="000000" w:fill="FFFFFF"/>
            <w:noWrap/>
            <w:vAlign w:val="center"/>
            <w:hideMark/>
          </w:tcPr>
          <w:p w14:paraId="1AA5551D" w14:textId="77777777" w:rsidR="002777EB" w:rsidRPr="00192892" w:rsidRDefault="002777EB" w:rsidP="00FA0078">
            <w:pPr>
              <w:jc w:val="center"/>
              <w:rPr>
                <w:rFonts w:ascii="Montserrat" w:hAnsi="Montserrat" w:cs="Calibri"/>
                <w:b/>
                <w:bCs/>
                <w:sz w:val="14"/>
                <w:szCs w:val="14"/>
                <w:u w:val="single"/>
                <w:lang w:val="es-MX"/>
              </w:rPr>
            </w:pPr>
            <w:r w:rsidRPr="00192892">
              <w:rPr>
                <w:rFonts w:ascii="Montserrat" w:hAnsi="Montserrat" w:cs="Calibri"/>
                <w:b/>
                <w:bCs/>
                <w:sz w:val="14"/>
                <w:szCs w:val="14"/>
                <w:u w:val="single"/>
                <w:lang w:val="es-MX"/>
              </w:rPr>
              <w:t>1,534,235,126</w:t>
            </w:r>
          </w:p>
        </w:tc>
        <w:tc>
          <w:tcPr>
            <w:tcW w:w="1533" w:type="dxa"/>
            <w:tcBorders>
              <w:top w:val="nil"/>
              <w:left w:val="nil"/>
              <w:bottom w:val="nil"/>
              <w:right w:val="nil"/>
            </w:tcBorders>
            <w:shd w:val="clear" w:color="000000" w:fill="FFFFFF"/>
            <w:noWrap/>
            <w:vAlign w:val="center"/>
            <w:hideMark/>
          </w:tcPr>
          <w:p w14:paraId="53BF0AE8" w14:textId="77777777" w:rsidR="002777EB" w:rsidRPr="00192892" w:rsidRDefault="002777EB" w:rsidP="00FA0078">
            <w:pPr>
              <w:jc w:val="center"/>
              <w:rPr>
                <w:rFonts w:ascii="Montserrat" w:hAnsi="Montserrat" w:cs="Calibri"/>
                <w:b/>
                <w:bCs/>
                <w:sz w:val="14"/>
                <w:szCs w:val="14"/>
                <w:u w:val="single"/>
                <w:lang w:val="es-MX"/>
              </w:rPr>
            </w:pPr>
            <w:r w:rsidRPr="00192892">
              <w:rPr>
                <w:rFonts w:ascii="Montserrat" w:hAnsi="Montserrat" w:cs="Calibri"/>
                <w:b/>
                <w:bCs/>
                <w:sz w:val="14"/>
                <w:szCs w:val="14"/>
                <w:u w:val="single"/>
                <w:lang w:val="es-MX"/>
              </w:rPr>
              <w:t>556,387,099</w:t>
            </w:r>
          </w:p>
        </w:tc>
        <w:tc>
          <w:tcPr>
            <w:tcW w:w="1464" w:type="dxa"/>
            <w:tcBorders>
              <w:top w:val="nil"/>
              <w:left w:val="nil"/>
              <w:bottom w:val="nil"/>
              <w:right w:val="nil"/>
            </w:tcBorders>
            <w:shd w:val="clear" w:color="000000" w:fill="FFFFFF"/>
            <w:noWrap/>
            <w:vAlign w:val="center"/>
            <w:hideMark/>
          </w:tcPr>
          <w:p w14:paraId="63124A29" w14:textId="77777777" w:rsidR="002777EB" w:rsidRPr="00192892" w:rsidRDefault="002777EB" w:rsidP="00FA0078">
            <w:pPr>
              <w:jc w:val="center"/>
              <w:rPr>
                <w:rFonts w:ascii="Montserrat" w:hAnsi="Montserrat" w:cs="Calibri"/>
                <w:b/>
                <w:bCs/>
                <w:sz w:val="14"/>
                <w:szCs w:val="14"/>
                <w:u w:val="single"/>
                <w:lang w:val="es-MX"/>
              </w:rPr>
            </w:pPr>
            <w:r w:rsidRPr="00192892">
              <w:rPr>
                <w:rFonts w:ascii="Montserrat" w:hAnsi="Montserrat" w:cs="Calibri"/>
                <w:b/>
                <w:bCs/>
                <w:sz w:val="14"/>
                <w:szCs w:val="14"/>
                <w:u w:val="single"/>
                <w:lang w:val="es-MX"/>
              </w:rPr>
              <w:t>977,848,027</w:t>
            </w:r>
          </w:p>
        </w:tc>
        <w:tc>
          <w:tcPr>
            <w:tcW w:w="1501" w:type="dxa"/>
            <w:tcBorders>
              <w:top w:val="nil"/>
              <w:left w:val="nil"/>
              <w:bottom w:val="nil"/>
              <w:right w:val="single" w:sz="8" w:space="0" w:color="000000"/>
            </w:tcBorders>
            <w:shd w:val="clear" w:color="000000" w:fill="FFFFFF"/>
            <w:noWrap/>
            <w:vAlign w:val="center"/>
            <w:hideMark/>
          </w:tcPr>
          <w:p w14:paraId="4FB3E59A" w14:textId="77777777" w:rsidR="002777EB" w:rsidRPr="00192892" w:rsidRDefault="002777EB" w:rsidP="00FA0078">
            <w:pPr>
              <w:jc w:val="center"/>
              <w:rPr>
                <w:rFonts w:ascii="Montserrat" w:hAnsi="Montserrat" w:cs="Calibri"/>
                <w:b/>
                <w:bCs/>
                <w:sz w:val="14"/>
                <w:szCs w:val="14"/>
                <w:u w:val="single"/>
                <w:lang w:val="es-MX"/>
              </w:rPr>
            </w:pPr>
            <w:r w:rsidRPr="00192892">
              <w:rPr>
                <w:rFonts w:ascii="Montserrat" w:hAnsi="Montserrat" w:cs="Calibri"/>
                <w:b/>
                <w:bCs/>
                <w:sz w:val="14"/>
                <w:szCs w:val="14"/>
                <w:u w:val="single"/>
                <w:lang w:val="es-MX"/>
              </w:rPr>
              <w:t>99,662,094</w:t>
            </w:r>
          </w:p>
        </w:tc>
      </w:tr>
      <w:tr w:rsidR="002777EB" w:rsidRPr="00192892" w14:paraId="68BC1397" w14:textId="77777777" w:rsidTr="00192892">
        <w:trPr>
          <w:trHeight w:val="274"/>
          <w:jc w:val="center"/>
        </w:trPr>
        <w:tc>
          <w:tcPr>
            <w:tcW w:w="2308" w:type="dxa"/>
            <w:tcBorders>
              <w:top w:val="nil"/>
              <w:left w:val="single" w:sz="8" w:space="0" w:color="000000"/>
              <w:bottom w:val="nil"/>
              <w:right w:val="nil"/>
            </w:tcBorders>
            <w:shd w:val="clear" w:color="000000" w:fill="FFFFFF"/>
            <w:vAlign w:val="center"/>
            <w:hideMark/>
          </w:tcPr>
          <w:p w14:paraId="0F1FAF61" w14:textId="77777777" w:rsidR="002777EB" w:rsidRPr="00192892" w:rsidRDefault="002777EB" w:rsidP="00FA0078">
            <w:pPr>
              <w:rPr>
                <w:rFonts w:ascii="Montserrat" w:hAnsi="Montserrat" w:cs="Calibri"/>
                <w:color w:val="000000"/>
                <w:sz w:val="14"/>
                <w:szCs w:val="14"/>
                <w:lang w:val="es-MX"/>
              </w:rPr>
            </w:pPr>
            <w:r w:rsidRPr="00192892">
              <w:rPr>
                <w:rFonts w:ascii="Montserrat" w:hAnsi="Montserrat" w:cs="Calibri"/>
                <w:color w:val="000000"/>
                <w:sz w:val="14"/>
                <w:szCs w:val="14"/>
                <w:lang w:val="es-MX"/>
              </w:rPr>
              <w:t>Banobras- JUSTICIA PENAL</w:t>
            </w:r>
          </w:p>
        </w:tc>
        <w:tc>
          <w:tcPr>
            <w:tcW w:w="1378" w:type="dxa"/>
            <w:tcBorders>
              <w:top w:val="nil"/>
              <w:left w:val="nil"/>
              <w:bottom w:val="nil"/>
              <w:right w:val="nil"/>
            </w:tcBorders>
            <w:shd w:val="clear" w:color="000000" w:fill="FFFFFF"/>
            <w:noWrap/>
            <w:hideMark/>
          </w:tcPr>
          <w:p w14:paraId="4D97DC74" w14:textId="77777777" w:rsidR="002777EB" w:rsidRPr="00192892" w:rsidRDefault="002777EB" w:rsidP="00FA0078">
            <w:pPr>
              <w:jc w:val="center"/>
              <w:rPr>
                <w:rFonts w:ascii="Montserrat" w:hAnsi="Montserrat" w:cs="Calibri"/>
                <w:color w:val="000000"/>
                <w:sz w:val="14"/>
                <w:szCs w:val="14"/>
                <w:lang w:val="es-MX"/>
              </w:rPr>
            </w:pPr>
            <w:r w:rsidRPr="00192892">
              <w:rPr>
                <w:rFonts w:ascii="Montserrat" w:hAnsi="Montserrat" w:cs="Calibri"/>
                <w:color w:val="000000"/>
                <w:sz w:val="14"/>
                <w:szCs w:val="14"/>
                <w:lang w:val="es-MX"/>
              </w:rPr>
              <w:t xml:space="preserve"> 405,456,000</w:t>
            </w:r>
          </w:p>
        </w:tc>
        <w:tc>
          <w:tcPr>
            <w:tcW w:w="1516" w:type="dxa"/>
            <w:tcBorders>
              <w:top w:val="nil"/>
              <w:left w:val="nil"/>
              <w:bottom w:val="nil"/>
              <w:right w:val="nil"/>
            </w:tcBorders>
            <w:shd w:val="clear" w:color="000000" w:fill="FFFFFF"/>
            <w:noWrap/>
            <w:hideMark/>
          </w:tcPr>
          <w:p w14:paraId="55F11B2A" w14:textId="77777777" w:rsidR="002777EB" w:rsidRPr="00192892" w:rsidRDefault="002777EB" w:rsidP="00FA0078">
            <w:pPr>
              <w:jc w:val="center"/>
              <w:rPr>
                <w:rFonts w:ascii="Montserrat" w:hAnsi="Montserrat" w:cs="Calibri"/>
                <w:b/>
                <w:bCs/>
                <w:color w:val="000000"/>
                <w:sz w:val="14"/>
                <w:szCs w:val="14"/>
                <w:lang w:val="es-MX"/>
              </w:rPr>
            </w:pPr>
            <w:r w:rsidRPr="00192892">
              <w:rPr>
                <w:rFonts w:ascii="Montserrat" w:hAnsi="Montserrat" w:cs="Calibri"/>
                <w:b/>
                <w:bCs/>
                <w:color w:val="000000"/>
                <w:sz w:val="14"/>
                <w:szCs w:val="14"/>
                <w:lang w:val="es-MX"/>
              </w:rPr>
              <w:t>398,859,429</w:t>
            </w:r>
          </w:p>
        </w:tc>
        <w:tc>
          <w:tcPr>
            <w:tcW w:w="1533" w:type="dxa"/>
            <w:tcBorders>
              <w:top w:val="nil"/>
              <w:left w:val="nil"/>
              <w:bottom w:val="nil"/>
              <w:right w:val="nil"/>
            </w:tcBorders>
            <w:shd w:val="clear" w:color="000000" w:fill="FFFFFF"/>
            <w:noWrap/>
            <w:hideMark/>
          </w:tcPr>
          <w:p w14:paraId="1DAC0FF9" w14:textId="77777777" w:rsidR="002777EB" w:rsidRPr="00192892" w:rsidRDefault="002777EB" w:rsidP="00FA0078">
            <w:pPr>
              <w:jc w:val="center"/>
              <w:rPr>
                <w:rFonts w:ascii="Montserrat" w:hAnsi="Montserrat" w:cs="Calibri"/>
                <w:sz w:val="14"/>
                <w:szCs w:val="14"/>
                <w:lang w:val="es-MX"/>
              </w:rPr>
            </w:pPr>
            <w:r w:rsidRPr="00192892">
              <w:rPr>
                <w:rFonts w:ascii="Montserrat" w:hAnsi="Montserrat" w:cs="Calibri"/>
                <w:sz w:val="14"/>
                <w:szCs w:val="14"/>
                <w:lang w:val="es-MX"/>
              </w:rPr>
              <w:t>171,646,580</w:t>
            </w:r>
          </w:p>
        </w:tc>
        <w:tc>
          <w:tcPr>
            <w:tcW w:w="1464" w:type="dxa"/>
            <w:tcBorders>
              <w:top w:val="nil"/>
              <w:left w:val="nil"/>
              <w:bottom w:val="nil"/>
              <w:right w:val="nil"/>
            </w:tcBorders>
            <w:shd w:val="clear" w:color="000000" w:fill="FFFFFF"/>
            <w:noWrap/>
            <w:hideMark/>
          </w:tcPr>
          <w:p w14:paraId="6CED84A4" w14:textId="77777777" w:rsidR="002777EB" w:rsidRPr="00192892" w:rsidRDefault="002777EB" w:rsidP="00FA0078">
            <w:pPr>
              <w:jc w:val="center"/>
              <w:rPr>
                <w:rFonts w:ascii="Montserrat" w:hAnsi="Montserrat" w:cs="Calibri"/>
                <w:color w:val="000000"/>
                <w:sz w:val="14"/>
                <w:szCs w:val="14"/>
                <w:lang w:val="es-MX"/>
              </w:rPr>
            </w:pPr>
            <w:r w:rsidRPr="00192892">
              <w:rPr>
                <w:rFonts w:ascii="Montserrat" w:hAnsi="Montserrat" w:cs="Calibri"/>
                <w:color w:val="000000"/>
                <w:sz w:val="14"/>
                <w:szCs w:val="14"/>
                <w:lang w:val="es-MX"/>
              </w:rPr>
              <w:t>227,212,849</w:t>
            </w:r>
          </w:p>
        </w:tc>
        <w:tc>
          <w:tcPr>
            <w:tcW w:w="1501" w:type="dxa"/>
            <w:tcBorders>
              <w:top w:val="nil"/>
              <w:left w:val="nil"/>
              <w:bottom w:val="nil"/>
              <w:right w:val="single" w:sz="8" w:space="0" w:color="000000"/>
            </w:tcBorders>
            <w:shd w:val="clear" w:color="000000" w:fill="FFFFFF"/>
            <w:noWrap/>
            <w:hideMark/>
          </w:tcPr>
          <w:p w14:paraId="6F0688D4" w14:textId="77777777" w:rsidR="002777EB" w:rsidRPr="00192892" w:rsidRDefault="002777EB" w:rsidP="00FA0078">
            <w:pPr>
              <w:jc w:val="center"/>
              <w:rPr>
                <w:rFonts w:ascii="Montserrat" w:hAnsi="Montserrat" w:cs="Calibri"/>
                <w:color w:val="000000"/>
                <w:sz w:val="14"/>
                <w:szCs w:val="14"/>
                <w:lang w:val="es-MX"/>
              </w:rPr>
            </w:pPr>
            <w:r w:rsidRPr="00192892">
              <w:rPr>
                <w:rFonts w:ascii="Montserrat" w:hAnsi="Montserrat" w:cs="Calibri"/>
                <w:color w:val="000000"/>
                <w:sz w:val="14"/>
                <w:szCs w:val="14"/>
                <w:lang w:val="es-MX"/>
              </w:rPr>
              <w:t>25,711,611</w:t>
            </w:r>
          </w:p>
        </w:tc>
      </w:tr>
      <w:tr w:rsidR="002777EB" w:rsidRPr="00192892" w14:paraId="09E8E3E4" w14:textId="77777777" w:rsidTr="00192892">
        <w:trPr>
          <w:trHeight w:val="229"/>
          <w:jc w:val="center"/>
        </w:trPr>
        <w:tc>
          <w:tcPr>
            <w:tcW w:w="2308" w:type="dxa"/>
            <w:tcBorders>
              <w:top w:val="nil"/>
              <w:left w:val="single" w:sz="8" w:space="0" w:color="000000"/>
              <w:bottom w:val="nil"/>
              <w:right w:val="nil"/>
            </w:tcBorders>
            <w:shd w:val="clear" w:color="000000" w:fill="FFFFFF"/>
            <w:noWrap/>
            <w:vAlign w:val="bottom"/>
            <w:hideMark/>
          </w:tcPr>
          <w:p w14:paraId="12487B53" w14:textId="77777777" w:rsidR="002777EB" w:rsidRPr="00192892" w:rsidRDefault="002777EB" w:rsidP="00FA0078">
            <w:pPr>
              <w:rPr>
                <w:rFonts w:ascii="Montserrat" w:hAnsi="Montserrat" w:cs="Calibri"/>
                <w:color w:val="000000"/>
                <w:sz w:val="14"/>
                <w:szCs w:val="14"/>
                <w:lang w:val="es-MX"/>
              </w:rPr>
            </w:pPr>
            <w:r w:rsidRPr="00192892">
              <w:rPr>
                <w:rFonts w:ascii="Montserrat" w:hAnsi="Montserrat" w:cs="Calibri"/>
                <w:color w:val="000000"/>
                <w:sz w:val="14"/>
                <w:szCs w:val="14"/>
                <w:lang w:val="es-MX"/>
              </w:rPr>
              <w:t xml:space="preserve">Banobras- FONREC  </w:t>
            </w:r>
          </w:p>
        </w:tc>
        <w:tc>
          <w:tcPr>
            <w:tcW w:w="1378" w:type="dxa"/>
            <w:tcBorders>
              <w:top w:val="nil"/>
              <w:left w:val="nil"/>
              <w:bottom w:val="nil"/>
              <w:right w:val="nil"/>
            </w:tcBorders>
            <w:shd w:val="clear" w:color="000000" w:fill="FFFFFF"/>
            <w:noWrap/>
            <w:vAlign w:val="bottom"/>
            <w:hideMark/>
          </w:tcPr>
          <w:p w14:paraId="01AFCF1C" w14:textId="77777777" w:rsidR="002777EB" w:rsidRPr="00192892" w:rsidRDefault="002777EB" w:rsidP="00FA0078">
            <w:pPr>
              <w:jc w:val="center"/>
              <w:rPr>
                <w:rFonts w:ascii="Montserrat" w:hAnsi="Montserrat" w:cs="Calibri"/>
                <w:color w:val="000000"/>
                <w:sz w:val="14"/>
                <w:szCs w:val="14"/>
                <w:lang w:val="es-MX"/>
              </w:rPr>
            </w:pPr>
            <w:r w:rsidRPr="00192892">
              <w:rPr>
                <w:rFonts w:ascii="Montserrat" w:hAnsi="Montserrat" w:cs="Calibri"/>
                <w:color w:val="000000"/>
                <w:sz w:val="14"/>
                <w:szCs w:val="14"/>
                <w:lang w:val="es-MX"/>
              </w:rPr>
              <w:t>1,200,000,000</w:t>
            </w:r>
          </w:p>
        </w:tc>
        <w:tc>
          <w:tcPr>
            <w:tcW w:w="1516" w:type="dxa"/>
            <w:tcBorders>
              <w:top w:val="nil"/>
              <w:left w:val="nil"/>
              <w:bottom w:val="nil"/>
              <w:right w:val="nil"/>
            </w:tcBorders>
            <w:shd w:val="clear" w:color="000000" w:fill="FFFFFF"/>
            <w:noWrap/>
            <w:vAlign w:val="bottom"/>
            <w:hideMark/>
          </w:tcPr>
          <w:p w14:paraId="50A9223D" w14:textId="77777777" w:rsidR="002777EB" w:rsidRPr="00192892" w:rsidRDefault="002777EB" w:rsidP="00FA0078">
            <w:pPr>
              <w:jc w:val="center"/>
              <w:rPr>
                <w:rFonts w:ascii="Montserrat" w:hAnsi="Montserrat" w:cs="Calibri"/>
                <w:b/>
                <w:bCs/>
                <w:color w:val="000000"/>
                <w:sz w:val="14"/>
                <w:szCs w:val="14"/>
                <w:lang w:val="es-MX"/>
              </w:rPr>
            </w:pPr>
            <w:r w:rsidRPr="00192892">
              <w:rPr>
                <w:rFonts w:ascii="Montserrat" w:hAnsi="Montserrat" w:cs="Calibri"/>
                <w:b/>
                <w:bCs/>
                <w:color w:val="000000"/>
                <w:sz w:val="14"/>
                <w:szCs w:val="14"/>
                <w:lang w:val="es-MX"/>
              </w:rPr>
              <w:t>1,135,375,697</w:t>
            </w:r>
          </w:p>
        </w:tc>
        <w:tc>
          <w:tcPr>
            <w:tcW w:w="1533" w:type="dxa"/>
            <w:tcBorders>
              <w:top w:val="nil"/>
              <w:left w:val="nil"/>
              <w:bottom w:val="nil"/>
              <w:right w:val="nil"/>
            </w:tcBorders>
            <w:shd w:val="clear" w:color="000000" w:fill="FFFFFF"/>
            <w:noWrap/>
            <w:vAlign w:val="bottom"/>
            <w:hideMark/>
          </w:tcPr>
          <w:p w14:paraId="0393596E" w14:textId="77777777" w:rsidR="002777EB" w:rsidRPr="00192892" w:rsidRDefault="002777EB" w:rsidP="00FA0078">
            <w:pPr>
              <w:jc w:val="center"/>
              <w:rPr>
                <w:rFonts w:ascii="Montserrat" w:hAnsi="Montserrat" w:cs="Calibri"/>
                <w:sz w:val="14"/>
                <w:szCs w:val="14"/>
                <w:lang w:val="es-MX"/>
              </w:rPr>
            </w:pPr>
            <w:r w:rsidRPr="00192892">
              <w:rPr>
                <w:rFonts w:ascii="Montserrat" w:hAnsi="Montserrat" w:cs="Calibri"/>
                <w:sz w:val="14"/>
                <w:szCs w:val="14"/>
                <w:lang w:val="es-MX"/>
              </w:rPr>
              <w:t>384,740,519</w:t>
            </w:r>
          </w:p>
        </w:tc>
        <w:tc>
          <w:tcPr>
            <w:tcW w:w="1464" w:type="dxa"/>
            <w:tcBorders>
              <w:top w:val="nil"/>
              <w:left w:val="nil"/>
              <w:bottom w:val="nil"/>
              <w:right w:val="nil"/>
            </w:tcBorders>
            <w:shd w:val="clear" w:color="000000" w:fill="FFFFFF"/>
            <w:noWrap/>
            <w:vAlign w:val="bottom"/>
            <w:hideMark/>
          </w:tcPr>
          <w:p w14:paraId="46DA7E38" w14:textId="77777777" w:rsidR="002777EB" w:rsidRPr="00192892" w:rsidRDefault="002777EB" w:rsidP="00FA0078">
            <w:pPr>
              <w:jc w:val="center"/>
              <w:rPr>
                <w:rFonts w:ascii="Montserrat" w:hAnsi="Montserrat" w:cs="Calibri"/>
                <w:color w:val="000000"/>
                <w:sz w:val="14"/>
                <w:szCs w:val="14"/>
                <w:lang w:val="es-MX"/>
              </w:rPr>
            </w:pPr>
            <w:r w:rsidRPr="00192892">
              <w:rPr>
                <w:rFonts w:ascii="Montserrat" w:hAnsi="Montserrat" w:cs="Calibri"/>
                <w:color w:val="000000"/>
                <w:sz w:val="14"/>
                <w:szCs w:val="14"/>
                <w:lang w:val="es-MX"/>
              </w:rPr>
              <w:t>750,635,178</w:t>
            </w:r>
          </w:p>
        </w:tc>
        <w:tc>
          <w:tcPr>
            <w:tcW w:w="1501" w:type="dxa"/>
            <w:tcBorders>
              <w:top w:val="nil"/>
              <w:left w:val="nil"/>
              <w:bottom w:val="nil"/>
              <w:right w:val="single" w:sz="8" w:space="0" w:color="000000"/>
            </w:tcBorders>
            <w:shd w:val="clear" w:color="000000" w:fill="FFFFFF"/>
            <w:noWrap/>
            <w:hideMark/>
          </w:tcPr>
          <w:p w14:paraId="4728F918" w14:textId="77777777" w:rsidR="002777EB" w:rsidRPr="00192892" w:rsidRDefault="002777EB" w:rsidP="00FA0078">
            <w:pPr>
              <w:jc w:val="center"/>
              <w:rPr>
                <w:rFonts w:ascii="Montserrat" w:hAnsi="Montserrat" w:cs="Calibri"/>
                <w:color w:val="000000"/>
                <w:sz w:val="14"/>
                <w:szCs w:val="14"/>
                <w:lang w:val="es-MX"/>
              </w:rPr>
            </w:pPr>
            <w:r w:rsidRPr="00192892">
              <w:rPr>
                <w:rFonts w:ascii="Montserrat" w:hAnsi="Montserrat" w:cs="Calibri"/>
                <w:color w:val="000000"/>
                <w:sz w:val="14"/>
                <w:szCs w:val="14"/>
                <w:lang w:val="es-MX"/>
              </w:rPr>
              <w:t>73,950,483</w:t>
            </w:r>
          </w:p>
        </w:tc>
      </w:tr>
      <w:tr w:rsidR="002777EB" w:rsidRPr="00192892" w14:paraId="5A0033E7" w14:textId="77777777" w:rsidTr="00192892">
        <w:trPr>
          <w:trHeight w:val="47"/>
          <w:jc w:val="center"/>
        </w:trPr>
        <w:tc>
          <w:tcPr>
            <w:tcW w:w="2308" w:type="dxa"/>
            <w:tcBorders>
              <w:top w:val="nil"/>
              <w:left w:val="single" w:sz="8" w:space="0" w:color="000000"/>
              <w:bottom w:val="single" w:sz="8" w:space="0" w:color="000000"/>
              <w:right w:val="nil"/>
            </w:tcBorders>
            <w:shd w:val="clear" w:color="000000" w:fill="FFFFFF"/>
            <w:noWrap/>
            <w:vAlign w:val="bottom"/>
            <w:hideMark/>
          </w:tcPr>
          <w:p w14:paraId="467B50F5" w14:textId="77777777" w:rsidR="002777EB" w:rsidRPr="00192892" w:rsidRDefault="002777EB" w:rsidP="00FA0078">
            <w:pPr>
              <w:rPr>
                <w:rFonts w:ascii="Montserrat" w:hAnsi="Montserrat" w:cs="Calibri"/>
                <w:color w:val="000000"/>
                <w:sz w:val="14"/>
                <w:szCs w:val="14"/>
                <w:lang w:val="es-MX"/>
              </w:rPr>
            </w:pPr>
            <w:r w:rsidRPr="00192892">
              <w:rPr>
                <w:rFonts w:ascii="Montserrat" w:hAnsi="Montserrat" w:cs="Calibri"/>
                <w:color w:val="000000"/>
                <w:sz w:val="14"/>
                <w:szCs w:val="14"/>
                <w:lang w:val="es-MX"/>
              </w:rPr>
              <w:t> </w:t>
            </w:r>
          </w:p>
        </w:tc>
        <w:tc>
          <w:tcPr>
            <w:tcW w:w="1378" w:type="dxa"/>
            <w:tcBorders>
              <w:top w:val="nil"/>
              <w:left w:val="nil"/>
              <w:bottom w:val="single" w:sz="8" w:space="0" w:color="000000"/>
              <w:right w:val="nil"/>
            </w:tcBorders>
            <w:shd w:val="clear" w:color="000000" w:fill="FFFFFF"/>
            <w:noWrap/>
            <w:vAlign w:val="bottom"/>
            <w:hideMark/>
          </w:tcPr>
          <w:p w14:paraId="03DDAA83" w14:textId="77777777" w:rsidR="002777EB" w:rsidRPr="00192892" w:rsidRDefault="002777EB" w:rsidP="00FA0078">
            <w:pPr>
              <w:rPr>
                <w:rFonts w:ascii="Montserrat" w:hAnsi="Montserrat" w:cs="Calibri"/>
                <w:color w:val="000000"/>
                <w:sz w:val="14"/>
                <w:szCs w:val="14"/>
                <w:lang w:val="es-MX"/>
              </w:rPr>
            </w:pPr>
            <w:r w:rsidRPr="00192892">
              <w:rPr>
                <w:rFonts w:ascii="Montserrat" w:hAnsi="Montserrat" w:cs="Calibri"/>
                <w:color w:val="000000"/>
                <w:sz w:val="14"/>
                <w:szCs w:val="14"/>
                <w:lang w:val="es-MX"/>
              </w:rPr>
              <w:t> </w:t>
            </w:r>
          </w:p>
        </w:tc>
        <w:tc>
          <w:tcPr>
            <w:tcW w:w="1516" w:type="dxa"/>
            <w:tcBorders>
              <w:top w:val="nil"/>
              <w:left w:val="nil"/>
              <w:bottom w:val="single" w:sz="8" w:space="0" w:color="000000"/>
              <w:right w:val="nil"/>
            </w:tcBorders>
            <w:shd w:val="clear" w:color="000000" w:fill="FFFFFF"/>
            <w:noWrap/>
            <w:vAlign w:val="bottom"/>
            <w:hideMark/>
          </w:tcPr>
          <w:p w14:paraId="69E31F75" w14:textId="77777777" w:rsidR="002777EB" w:rsidRPr="00192892" w:rsidRDefault="002777EB" w:rsidP="00FA0078">
            <w:pPr>
              <w:rPr>
                <w:rFonts w:ascii="Montserrat" w:hAnsi="Montserrat" w:cs="Calibri"/>
                <w:color w:val="000000"/>
                <w:sz w:val="14"/>
                <w:szCs w:val="14"/>
                <w:lang w:val="es-MX"/>
              </w:rPr>
            </w:pPr>
            <w:r w:rsidRPr="00192892">
              <w:rPr>
                <w:rFonts w:ascii="Montserrat" w:hAnsi="Montserrat" w:cs="Calibri"/>
                <w:color w:val="000000"/>
                <w:sz w:val="14"/>
                <w:szCs w:val="14"/>
                <w:lang w:val="es-MX"/>
              </w:rPr>
              <w:t> </w:t>
            </w:r>
          </w:p>
        </w:tc>
        <w:tc>
          <w:tcPr>
            <w:tcW w:w="1533" w:type="dxa"/>
            <w:tcBorders>
              <w:top w:val="nil"/>
              <w:left w:val="nil"/>
              <w:bottom w:val="single" w:sz="8" w:space="0" w:color="000000"/>
              <w:right w:val="nil"/>
            </w:tcBorders>
            <w:shd w:val="clear" w:color="000000" w:fill="FFFFFF"/>
            <w:noWrap/>
            <w:vAlign w:val="bottom"/>
            <w:hideMark/>
          </w:tcPr>
          <w:p w14:paraId="493AAA5D" w14:textId="77777777" w:rsidR="002777EB" w:rsidRPr="00192892" w:rsidRDefault="002777EB" w:rsidP="00FA0078">
            <w:pPr>
              <w:rPr>
                <w:rFonts w:ascii="Montserrat" w:hAnsi="Montserrat" w:cs="Calibri"/>
                <w:color w:val="000000"/>
                <w:sz w:val="14"/>
                <w:szCs w:val="14"/>
                <w:lang w:val="es-MX"/>
              </w:rPr>
            </w:pPr>
            <w:r w:rsidRPr="00192892">
              <w:rPr>
                <w:rFonts w:ascii="Montserrat" w:hAnsi="Montserrat" w:cs="Calibri"/>
                <w:color w:val="000000"/>
                <w:sz w:val="14"/>
                <w:szCs w:val="14"/>
                <w:lang w:val="es-MX"/>
              </w:rPr>
              <w:t> </w:t>
            </w:r>
          </w:p>
        </w:tc>
        <w:tc>
          <w:tcPr>
            <w:tcW w:w="1464" w:type="dxa"/>
            <w:tcBorders>
              <w:top w:val="nil"/>
              <w:left w:val="nil"/>
              <w:bottom w:val="single" w:sz="8" w:space="0" w:color="000000"/>
              <w:right w:val="nil"/>
            </w:tcBorders>
            <w:shd w:val="clear" w:color="000000" w:fill="FFFFFF"/>
            <w:noWrap/>
            <w:vAlign w:val="bottom"/>
            <w:hideMark/>
          </w:tcPr>
          <w:p w14:paraId="6AA689F9" w14:textId="77777777" w:rsidR="002777EB" w:rsidRPr="00192892" w:rsidRDefault="002777EB" w:rsidP="00FA0078">
            <w:pPr>
              <w:rPr>
                <w:rFonts w:ascii="Montserrat" w:hAnsi="Montserrat" w:cs="Calibri"/>
                <w:color w:val="000000"/>
                <w:sz w:val="14"/>
                <w:szCs w:val="14"/>
                <w:lang w:val="es-MX"/>
              </w:rPr>
            </w:pPr>
            <w:r w:rsidRPr="00192892">
              <w:rPr>
                <w:rFonts w:ascii="Montserrat" w:hAnsi="Montserrat" w:cs="Calibri"/>
                <w:color w:val="000000"/>
                <w:sz w:val="14"/>
                <w:szCs w:val="14"/>
                <w:lang w:val="es-MX"/>
              </w:rPr>
              <w:t> </w:t>
            </w:r>
          </w:p>
        </w:tc>
        <w:tc>
          <w:tcPr>
            <w:tcW w:w="1501" w:type="dxa"/>
            <w:tcBorders>
              <w:top w:val="nil"/>
              <w:left w:val="nil"/>
              <w:bottom w:val="single" w:sz="8" w:space="0" w:color="000000"/>
              <w:right w:val="single" w:sz="8" w:space="0" w:color="000000"/>
            </w:tcBorders>
            <w:shd w:val="clear" w:color="000000" w:fill="FFFFFF"/>
            <w:noWrap/>
            <w:vAlign w:val="bottom"/>
            <w:hideMark/>
          </w:tcPr>
          <w:p w14:paraId="12080DA5" w14:textId="77777777" w:rsidR="002777EB" w:rsidRPr="00192892" w:rsidRDefault="002777EB" w:rsidP="00FA0078">
            <w:pPr>
              <w:jc w:val="center"/>
              <w:rPr>
                <w:rFonts w:ascii="Montserrat" w:hAnsi="Montserrat" w:cs="Calibri"/>
                <w:color w:val="000000"/>
                <w:sz w:val="14"/>
                <w:szCs w:val="14"/>
                <w:lang w:val="es-MX"/>
              </w:rPr>
            </w:pPr>
            <w:r w:rsidRPr="00192892">
              <w:rPr>
                <w:rFonts w:ascii="Montserrat" w:hAnsi="Montserrat" w:cs="Calibri"/>
                <w:color w:val="000000"/>
                <w:sz w:val="14"/>
                <w:szCs w:val="14"/>
                <w:lang w:val="es-MX"/>
              </w:rPr>
              <w:t> </w:t>
            </w:r>
          </w:p>
        </w:tc>
      </w:tr>
      <w:tr w:rsidR="002777EB" w:rsidRPr="00192892" w14:paraId="66A72A34" w14:textId="77777777" w:rsidTr="00192892">
        <w:trPr>
          <w:trHeight w:val="441"/>
          <w:jc w:val="center"/>
        </w:trPr>
        <w:tc>
          <w:tcPr>
            <w:tcW w:w="9700" w:type="dxa"/>
            <w:gridSpan w:val="6"/>
            <w:tcBorders>
              <w:top w:val="nil"/>
              <w:left w:val="nil"/>
              <w:bottom w:val="nil"/>
              <w:right w:val="nil"/>
            </w:tcBorders>
            <w:shd w:val="clear" w:color="000000" w:fill="FFFFFF"/>
            <w:hideMark/>
          </w:tcPr>
          <w:p w14:paraId="54D41143" w14:textId="77777777" w:rsidR="002777EB" w:rsidRPr="00192892" w:rsidRDefault="002777EB" w:rsidP="00FA0078">
            <w:pPr>
              <w:rPr>
                <w:rFonts w:ascii="Montserrat" w:hAnsi="Montserrat" w:cs="Calibri"/>
                <w:b/>
                <w:bCs/>
                <w:color w:val="000000"/>
                <w:sz w:val="14"/>
                <w:szCs w:val="14"/>
                <w:lang w:val="es-MX"/>
              </w:rPr>
            </w:pPr>
            <w:r w:rsidRPr="00192892">
              <w:rPr>
                <w:rFonts w:ascii="Montserrat" w:hAnsi="Montserrat" w:cs="Calibri"/>
                <w:b/>
                <w:bCs/>
                <w:color w:val="000000"/>
                <w:sz w:val="14"/>
                <w:szCs w:val="14"/>
                <w:lang w:val="es-MX"/>
              </w:rPr>
              <w:t xml:space="preserve">1/ </w:t>
            </w:r>
            <w:r w:rsidRPr="00192892">
              <w:rPr>
                <w:rFonts w:ascii="Montserrat" w:hAnsi="Montserrat" w:cs="Calibri"/>
                <w:color w:val="000000"/>
                <w:sz w:val="14"/>
                <w:szCs w:val="14"/>
                <w:lang w:val="es-MX"/>
              </w:rPr>
              <w:t>Valor nominal estimado de los bonos cupón cero  al cierre del trimestre que servirán para el pago de capital al vencimiento, reportados por Banobras.</w:t>
            </w:r>
          </w:p>
        </w:tc>
      </w:tr>
      <w:tr w:rsidR="002777EB" w:rsidRPr="00192892" w14:paraId="5DE02779" w14:textId="77777777" w:rsidTr="00192892">
        <w:trPr>
          <w:trHeight w:val="214"/>
          <w:jc w:val="center"/>
        </w:trPr>
        <w:tc>
          <w:tcPr>
            <w:tcW w:w="9700" w:type="dxa"/>
            <w:gridSpan w:val="6"/>
            <w:tcBorders>
              <w:top w:val="nil"/>
              <w:left w:val="nil"/>
              <w:bottom w:val="nil"/>
              <w:right w:val="nil"/>
            </w:tcBorders>
            <w:shd w:val="clear" w:color="auto" w:fill="auto"/>
            <w:vAlign w:val="center"/>
            <w:hideMark/>
          </w:tcPr>
          <w:p w14:paraId="360AF830" w14:textId="77777777" w:rsidR="002777EB" w:rsidRPr="00192892" w:rsidRDefault="002777EB" w:rsidP="00FA0078">
            <w:pPr>
              <w:rPr>
                <w:rFonts w:ascii="Montserrat" w:hAnsi="Montserrat" w:cs="Calibri"/>
                <w:color w:val="000000"/>
                <w:sz w:val="14"/>
                <w:szCs w:val="14"/>
                <w:lang w:val="es-MX"/>
              </w:rPr>
            </w:pPr>
            <w:r w:rsidRPr="00192892">
              <w:rPr>
                <w:rFonts w:ascii="Montserrat" w:hAnsi="Montserrat" w:cs="Calibri"/>
                <w:b/>
                <w:bCs/>
                <w:color w:val="000000"/>
                <w:sz w:val="14"/>
                <w:szCs w:val="14"/>
                <w:lang w:val="es-MX"/>
              </w:rPr>
              <w:t xml:space="preserve">2/ </w:t>
            </w:r>
            <w:r w:rsidRPr="00192892">
              <w:rPr>
                <w:rFonts w:ascii="Montserrat" w:hAnsi="Montserrat" w:cs="Calibri"/>
                <w:color w:val="000000"/>
                <w:sz w:val="14"/>
                <w:szCs w:val="14"/>
                <w:lang w:val="es-MX"/>
              </w:rPr>
              <w:t>El costo financiero incluye el pago de intereses y  honorarios fiduciarios.</w:t>
            </w:r>
          </w:p>
        </w:tc>
      </w:tr>
    </w:tbl>
    <w:p w14:paraId="7B572538" w14:textId="77777777" w:rsidR="002777EB" w:rsidRPr="00192892" w:rsidRDefault="002777EB" w:rsidP="002777EB">
      <w:pPr>
        <w:contextualSpacing/>
        <w:jc w:val="both"/>
        <w:rPr>
          <w:rFonts w:ascii="Montserrat" w:hAnsi="Montserrat" w:cs="Arial"/>
          <w:spacing w:val="20"/>
          <w:sz w:val="22"/>
          <w:szCs w:val="22"/>
          <w:lang w:val="es-MX"/>
        </w:rPr>
      </w:pPr>
    </w:p>
    <w:p w14:paraId="2F699C9D" w14:textId="77777777" w:rsidR="009A021D" w:rsidRDefault="009A021D" w:rsidP="009A021D">
      <w:pPr>
        <w:rPr>
          <w:rFonts w:ascii="Montserrat" w:eastAsia="Times New Roman" w:hAnsi="Montserrat" w:cs="Arial"/>
          <w:b/>
          <w:bCs/>
          <w:sz w:val="22"/>
          <w:szCs w:val="22"/>
        </w:rPr>
      </w:pPr>
    </w:p>
    <w:p w14:paraId="022C080E" w14:textId="77777777" w:rsidR="00192892" w:rsidRPr="00192892" w:rsidRDefault="00192892" w:rsidP="009A021D">
      <w:pPr>
        <w:rPr>
          <w:rFonts w:ascii="Montserrat" w:eastAsia="Times New Roman" w:hAnsi="Montserrat" w:cs="Arial"/>
          <w:b/>
          <w:bCs/>
          <w:sz w:val="22"/>
          <w:szCs w:val="22"/>
        </w:rPr>
      </w:pPr>
    </w:p>
    <w:p w14:paraId="01A9F1C1" w14:textId="77777777" w:rsidR="009A021D" w:rsidRPr="00192892" w:rsidRDefault="009A021D" w:rsidP="009A021D">
      <w:pPr>
        <w:rPr>
          <w:rFonts w:ascii="Montserrat" w:eastAsia="Times New Roman" w:hAnsi="Montserrat" w:cs="Arial"/>
          <w:b/>
          <w:bCs/>
          <w:sz w:val="22"/>
          <w:szCs w:val="22"/>
        </w:rPr>
      </w:pPr>
      <w:r w:rsidRPr="00192892">
        <w:rPr>
          <w:rFonts w:ascii="Montserrat" w:eastAsia="Times New Roman" w:hAnsi="Montserrat" w:cs="Arial"/>
          <w:b/>
          <w:bCs/>
          <w:sz w:val="22"/>
          <w:szCs w:val="22"/>
        </w:rPr>
        <w:t>CUENTAS DE ORDEN PRESUPUESTARIO</w:t>
      </w:r>
    </w:p>
    <w:p w14:paraId="6FAC2DDC" w14:textId="77777777" w:rsidR="009A021D" w:rsidRPr="00192892" w:rsidRDefault="009A021D" w:rsidP="009A021D">
      <w:pPr>
        <w:tabs>
          <w:tab w:val="left" w:pos="1260"/>
        </w:tabs>
        <w:spacing w:after="101" w:line="224" w:lineRule="exact"/>
        <w:ind w:firstLine="289"/>
        <w:jc w:val="both"/>
        <w:rPr>
          <w:rFonts w:ascii="Montserrat" w:eastAsia="Times New Roman" w:hAnsi="Montserrat" w:cs="Arial"/>
          <w:b/>
          <w:sz w:val="22"/>
          <w:szCs w:val="22"/>
          <w:lang w:eastAsia="es-ES"/>
        </w:rPr>
      </w:pPr>
    </w:p>
    <w:p w14:paraId="3B684C55" w14:textId="77777777" w:rsidR="009A021D" w:rsidRPr="00192892" w:rsidRDefault="009A021D" w:rsidP="009A021D">
      <w:pPr>
        <w:tabs>
          <w:tab w:val="left" w:pos="1260"/>
        </w:tabs>
        <w:spacing w:after="120" w:line="224" w:lineRule="exact"/>
        <w:jc w:val="both"/>
        <w:rPr>
          <w:rFonts w:ascii="Montserrat" w:eastAsia="Times New Roman" w:hAnsi="Montserrat" w:cs="Arial"/>
          <w:bCs/>
          <w:sz w:val="22"/>
          <w:szCs w:val="22"/>
          <w:lang w:val="es-MX" w:eastAsia="es-ES"/>
        </w:rPr>
      </w:pPr>
      <w:r w:rsidRPr="00192892">
        <w:rPr>
          <w:rFonts w:ascii="Montserrat" w:eastAsia="Times New Roman" w:hAnsi="Montserrat" w:cs="Arial"/>
          <w:bCs/>
          <w:sz w:val="22"/>
          <w:szCs w:val="22"/>
          <w:lang w:eastAsia="es-ES"/>
        </w:rPr>
        <w:t>En</w:t>
      </w:r>
      <w:r w:rsidRPr="00192892">
        <w:rPr>
          <w:rFonts w:ascii="Montserrat" w:eastAsia="Times New Roman" w:hAnsi="Montserrat" w:cs="Arial"/>
          <w:bCs/>
          <w:sz w:val="22"/>
          <w:szCs w:val="22"/>
          <w:lang w:val="es-MX" w:eastAsia="es-ES"/>
        </w:rPr>
        <w:t xml:space="preserve"> las cuentas de orden presupuestarias, se informa el avance que se registra, previo al cierre presupuestario de cada periodo que se reporta.</w:t>
      </w:r>
    </w:p>
    <w:p w14:paraId="2B451E30" w14:textId="55CCCFA8" w:rsidR="00977E4E" w:rsidRPr="00192892" w:rsidRDefault="009A021D" w:rsidP="009A021D">
      <w:pPr>
        <w:tabs>
          <w:tab w:val="left" w:pos="1260"/>
        </w:tabs>
        <w:spacing w:after="120" w:line="224" w:lineRule="exact"/>
        <w:jc w:val="both"/>
        <w:rPr>
          <w:rFonts w:ascii="Montserrat" w:eastAsia="Times New Roman" w:hAnsi="Montserrat" w:cs="Arial"/>
          <w:bCs/>
          <w:sz w:val="22"/>
          <w:szCs w:val="22"/>
          <w:lang w:val="es-MX" w:eastAsia="es-ES"/>
        </w:rPr>
      </w:pPr>
      <w:r w:rsidRPr="00192892">
        <w:rPr>
          <w:rFonts w:ascii="Montserrat" w:eastAsia="Times New Roman" w:hAnsi="Montserrat" w:cs="Arial"/>
          <w:bCs/>
          <w:sz w:val="22"/>
          <w:szCs w:val="22"/>
          <w:lang w:val="es-MX" w:eastAsia="es-ES"/>
        </w:rPr>
        <w:t>Dichas cifras corresponden al presupuesto total aprobado para el Gobierno del Estado.</w:t>
      </w:r>
    </w:p>
    <w:p w14:paraId="72DE50C0" w14:textId="77777777" w:rsidR="009A021D" w:rsidRPr="00192892" w:rsidRDefault="009A021D" w:rsidP="009A021D">
      <w:pPr>
        <w:tabs>
          <w:tab w:val="left" w:pos="1260"/>
        </w:tabs>
        <w:spacing w:after="120" w:line="224" w:lineRule="exact"/>
        <w:jc w:val="both"/>
        <w:rPr>
          <w:rFonts w:ascii="Montserrat" w:eastAsia="Times New Roman" w:hAnsi="Montserrat" w:cs="Arial"/>
          <w:bCs/>
          <w:sz w:val="22"/>
          <w:szCs w:val="22"/>
          <w:lang w:val="es-MX" w:eastAsia="es-ES"/>
        </w:rPr>
      </w:pPr>
    </w:p>
    <w:p w14:paraId="15A3F1F4" w14:textId="77777777" w:rsidR="009A021D" w:rsidRPr="00192892" w:rsidRDefault="009A021D" w:rsidP="009A021D">
      <w:pPr>
        <w:tabs>
          <w:tab w:val="left" w:pos="1260"/>
        </w:tabs>
        <w:spacing w:after="120" w:line="224" w:lineRule="exact"/>
        <w:jc w:val="both"/>
        <w:rPr>
          <w:rFonts w:ascii="Montserrat" w:eastAsia="Times New Roman" w:hAnsi="Montserrat" w:cs="Arial"/>
          <w:bCs/>
          <w:sz w:val="22"/>
          <w:szCs w:val="22"/>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2124"/>
      </w:tblGrid>
      <w:tr w:rsidR="00FD2DE6" w:rsidRPr="00192892" w14:paraId="242121A3" w14:textId="77777777" w:rsidTr="004B3002">
        <w:tc>
          <w:tcPr>
            <w:tcW w:w="7307" w:type="dxa"/>
            <w:gridSpan w:val="2"/>
            <w:shd w:val="clear" w:color="auto" w:fill="808080" w:themeFill="background1" w:themeFillShade="80"/>
            <w:vAlign w:val="center"/>
          </w:tcPr>
          <w:p w14:paraId="4D85E14D" w14:textId="77777777" w:rsidR="009A021D" w:rsidRPr="00192892" w:rsidRDefault="009A021D" w:rsidP="004B3002">
            <w:pPr>
              <w:spacing w:after="120" w:line="216" w:lineRule="exact"/>
              <w:jc w:val="center"/>
              <w:rPr>
                <w:rFonts w:ascii="Montserrat" w:eastAsia="Times New Roman" w:hAnsi="Montserrat" w:cs="Arial"/>
                <w:b/>
                <w:sz w:val="22"/>
                <w:szCs w:val="22"/>
                <w:lang w:eastAsia="es-ES"/>
              </w:rPr>
            </w:pPr>
            <w:r w:rsidRPr="00192892">
              <w:rPr>
                <w:rFonts w:ascii="Montserrat" w:eastAsia="Times New Roman" w:hAnsi="Montserrat" w:cs="Arial"/>
                <w:b/>
                <w:sz w:val="22"/>
                <w:szCs w:val="22"/>
                <w:lang w:eastAsia="es-ES"/>
              </w:rPr>
              <w:lastRenderedPageBreak/>
              <w:t>Cuentas de Orden Presupuestarias de Ingresos</w:t>
            </w:r>
          </w:p>
        </w:tc>
      </w:tr>
      <w:tr w:rsidR="00FD2DE6" w:rsidRPr="00192892" w14:paraId="5C2CD1E4" w14:textId="77777777" w:rsidTr="004B3002">
        <w:tc>
          <w:tcPr>
            <w:tcW w:w="5322" w:type="dxa"/>
            <w:shd w:val="clear" w:color="auto" w:fill="808080" w:themeFill="background1" w:themeFillShade="80"/>
            <w:vAlign w:val="center"/>
          </w:tcPr>
          <w:p w14:paraId="26143BD0" w14:textId="77777777" w:rsidR="009A021D" w:rsidRPr="00192892" w:rsidRDefault="009A021D" w:rsidP="004B3002">
            <w:pPr>
              <w:spacing w:after="120" w:line="216" w:lineRule="exact"/>
              <w:jc w:val="center"/>
              <w:rPr>
                <w:rFonts w:ascii="Montserrat" w:eastAsia="Times New Roman" w:hAnsi="Montserrat" w:cs="Arial"/>
                <w:b/>
                <w:sz w:val="22"/>
                <w:szCs w:val="22"/>
                <w:lang w:eastAsia="es-ES"/>
              </w:rPr>
            </w:pPr>
            <w:r w:rsidRPr="00192892">
              <w:rPr>
                <w:rFonts w:ascii="Montserrat" w:eastAsia="Times New Roman" w:hAnsi="Montserrat" w:cs="Arial"/>
                <w:b/>
                <w:sz w:val="22"/>
                <w:szCs w:val="22"/>
                <w:lang w:eastAsia="es-ES"/>
              </w:rPr>
              <w:t>Concepto</w:t>
            </w:r>
          </w:p>
        </w:tc>
        <w:tc>
          <w:tcPr>
            <w:tcW w:w="1985" w:type="dxa"/>
            <w:shd w:val="clear" w:color="auto" w:fill="808080" w:themeFill="background1" w:themeFillShade="80"/>
            <w:vAlign w:val="center"/>
          </w:tcPr>
          <w:p w14:paraId="71476CFB" w14:textId="77777777" w:rsidR="009A021D" w:rsidRPr="00192892" w:rsidRDefault="009A021D" w:rsidP="004B3002">
            <w:pPr>
              <w:spacing w:after="120" w:line="216" w:lineRule="exact"/>
              <w:jc w:val="center"/>
              <w:rPr>
                <w:rFonts w:ascii="Montserrat" w:eastAsia="Times New Roman" w:hAnsi="Montserrat" w:cs="Arial"/>
                <w:b/>
                <w:sz w:val="22"/>
                <w:szCs w:val="22"/>
                <w:lang w:eastAsia="es-ES"/>
              </w:rPr>
            </w:pPr>
            <w:r w:rsidRPr="00192892">
              <w:rPr>
                <w:rFonts w:ascii="Montserrat" w:eastAsia="Times New Roman" w:hAnsi="Montserrat" w:cs="Arial"/>
                <w:b/>
                <w:sz w:val="22"/>
                <w:szCs w:val="22"/>
                <w:lang w:eastAsia="es-ES"/>
              </w:rPr>
              <w:t>2024</w:t>
            </w:r>
          </w:p>
        </w:tc>
      </w:tr>
      <w:tr w:rsidR="00FD2DE6" w:rsidRPr="00192892" w14:paraId="21F2E826" w14:textId="77777777" w:rsidTr="007750B8">
        <w:tc>
          <w:tcPr>
            <w:tcW w:w="5322" w:type="dxa"/>
            <w:shd w:val="clear" w:color="auto" w:fill="auto"/>
            <w:vAlign w:val="center"/>
          </w:tcPr>
          <w:p w14:paraId="3E7D09A5" w14:textId="77777777" w:rsidR="009A021D" w:rsidRPr="00192892" w:rsidRDefault="009A021D" w:rsidP="009A021D">
            <w:pPr>
              <w:spacing w:after="12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Ley de Ingresos Estimada</w:t>
            </w:r>
          </w:p>
        </w:tc>
        <w:tc>
          <w:tcPr>
            <w:tcW w:w="1985" w:type="dxa"/>
            <w:shd w:val="clear" w:color="auto" w:fill="auto"/>
            <w:vAlign w:val="center"/>
          </w:tcPr>
          <w:p w14:paraId="5DE7D568" w14:textId="77777777" w:rsidR="009A021D" w:rsidRPr="00192892" w:rsidRDefault="009A021D" w:rsidP="009A021D">
            <w:pPr>
              <w:jc w:val="right"/>
              <w:rPr>
                <w:rFonts w:ascii="Montserrat" w:hAnsi="Montserrat" w:cs="Calibri"/>
                <w:bCs/>
                <w:sz w:val="22"/>
                <w:szCs w:val="22"/>
              </w:rPr>
            </w:pPr>
            <w:r w:rsidRPr="00192892">
              <w:rPr>
                <w:rFonts w:ascii="Montserrat" w:hAnsi="Montserrat" w:cs="Calibri"/>
                <w:bCs/>
                <w:sz w:val="22"/>
                <w:szCs w:val="22"/>
              </w:rPr>
              <w:t>99,619,332,375.00</w:t>
            </w:r>
          </w:p>
        </w:tc>
      </w:tr>
      <w:tr w:rsidR="00FD2DE6" w:rsidRPr="00192892" w14:paraId="258EE673" w14:textId="77777777" w:rsidTr="007750B8">
        <w:tc>
          <w:tcPr>
            <w:tcW w:w="5322" w:type="dxa"/>
            <w:shd w:val="clear" w:color="auto" w:fill="auto"/>
            <w:vAlign w:val="center"/>
          </w:tcPr>
          <w:p w14:paraId="7EC0CCD2" w14:textId="77777777" w:rsidR="009A021D" w:rsidRPr="00192892" w:rsidRDefault="009A021D" w:rsidP="009A021D">
            <w:pPr>
              <w:spacing w:after="12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Ley de Ingresos por Ejecutar</w:t>
            </w:r>
          </w:p>
        </w:tc>
        <w:tc>
          <w:tcPr>
            <w:tcW w:w="1985" w:type="dxa"/>
            <w:shd w:val="clear" w:color="auto" w:fill="auto"/>
            <w:vAlign w:val="center"/>
          </w:tcPr>
          <w:p w14:paraId="457E9E62" w14:textId="643F5732" w:rsidR="009A021D" w:rsidRPr="00192892" w:rsidRDefault="002E6541" w:rsidP="009A021D">
            <w:pPr>
              <w:jc w:val="right"/>
              <w:rPr>
                <w:rFonts w:ascii="Montserrat" w:hAnsi="Montserrat" w:cs="Calibri"/>
                <w:bCs/>
                <w:sz w:val="22"/>
                <w:szCs w:val="22"/>
              </w:rPr>
            </w:pPr>
            <w:r w:rsidRPr="00192892">
              <w:rPr>
                <w:rFonts w:ascii="Montserrat" w:hAnsi="Montserrat" w:cs="Calibri"/>
                <w:bCs/>
                <w:sz w:val="22"/>
                <w:szCs w:val="22"/>
              </w:rPr>
              <w:t xml:space="preserve">16,893,026,009.60   </w:t>
            </w:r>
          </w:p>
        </w:tc>
      </w:tr>
      <w:tr w:rsidR="00FD2DE6" w:rsidRPr="00192892" w14:paraId="5765988D" w14:textId="77777777" w:rsidTr="007750B8">
        <w:tc>
          <w:tcPr>
            <w:tcW w:w="5322" w:type="dxa"/>
            <w:shd w:val="clear" w:color="auto" w:fill="auto"/>
            <w:vAlign w:val="center"/>
          </w:tcPr>
          <w:p w14:paraId="762BA33D" w14:textId="77777777" w:rsidR="009A021D" w:rsidRPr="00192892" w:rsidRDefault="009A021D" w:rsidP="009A021D">
            <w:pPr>
              <w:spacing w:after="12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Modificaciones a la Ley de Ingresos Estimada</w:t>
            </w:r>
          </w:p>
        </w:tc>
        <w:tc>
          <w:tcPr>
            <w:tcW w:w="1985" w:type="dxa"/>
            <w:shd w:val="clear" w:color="auto" w:fill="auto"/>
            <w:vAlign w:val="center"/>
          </w:tcPr>
          <w:p w14:paraId="032256B9" w14:textId="0C472F2F" w:rsidR="009A021D" w:rsidRPr="00192892" w:rsidRDefault="002E6541" w:rsidP="009A021D">
            <w:pPr>
              <w:jc w:val="right"/>
              <w:rPr>
                <w:rFonts w:ascii="Montserrat" w:hAnsi="Montserrat" w:cs="Calibri"/>
                <w:bCs/>
                <w:sz w:val="22"/>
                <w:szCs w:val="22"/>
              </w:rPr>
            </w:pPr>
            <w:r w:rsidRPr="00192892">
              <w:rPr>
                <w:rFonts w:ascii="Montserrat" w:hAnsi="Montserrat" w:cs="Calibri"/>
                <w:bCs/>
                <w:sz w:val="22"/>
                <w:szCs w:val="22"/>
              </w:rPr>
              <w:t>12,053,733,842.00</w:t>
            </w:r>
          </w:p>
        </w:tc>
      </w:tr>
      <w:tr w:rsidR="00FD2DE6" w:rsidRPr="00192892" w14:paraId="400DF065" w14:textId="77777777" w:rsidTr="007750B8">
        <w:tc>
          <w:tcPr>
            <w:tcW w:w="5322" w:type="dxa"/>
            <w:shd w:val="clear" w:color="auto" w:fill="auto"/>
            <w:vAlign w:val="center"/>
          </w:tcPr>
          <w:p w14:paraId="6F9A2C8B" w14:textId="77777777" w:rsidR="009A021D" w:rsidRPr="00192892" w:rsidRDefault="009A021D" w:rsidP="009A021D">
            <w:pPr>
              <w:spacing w:after="12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Ley de Ingresos Devengada</w:t>
            </w:r>
          </w:p>
        </w:tc>
        <w:tc>
          <w:tcPr>
            <w:tcW w:w="1985" w:type="dxa"/>
            <w:shd w:val="clear" w:color="auto" w:fill="auto"/>
            <w:vAlign w:val="center"/>
          </w:tcPr>
          <w:p w14:paraId="08ABC0BE" w14:textId="41AF7D7F" w:rsidR="009A021D" w:rsidRPr="00192892" w:rsidRDefault="00435CD5" w:rsidP="009A021D">
            <w:pPr>
              <w:spacing w:after="120" w:line="216" w:lineRule="exact"/>
              <w:jc w:val="righ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105,673,635.19</w:t>
            </w:r>
          </w:p>
        </w:tc>
      </w:tr>
      <w:tr w:rsidR="00FD2DE6" w:rsidRPr="00192892" w14:paraId="103724B9" w14:textId="77777777" w:rsidTr="007750B8">
        <w:tc>
          <w:tcPr>
            <w:tcW w:w="5322" w:type="dxa"/>
            <w:shd w:val="clear" w:color="auto" w:fill="auto"/>
            <w:vAlign w:val="center"/>
          </w:tcPr>
          <w:p w14:paraId="71CC3572" w14:textId="77777777" w:rsidR="009A021D" w:rsidRPr="00192892" w:rsidRDefault="009A021D" w:rsidP="009A021D">
            <w:pPr>
              <w:spacing w:after="120" w:line="216" w:lineRule="exact"/>
              <w:rPr>
                <w:rFonts w:ascii="Montserrat" w:eastAsia="Times New Roman" w:hAnsi="Montserrat" w:cs="Arial"/>
                <w:bCs/>
                <w:sz w:val="22"/>
                <w:szCs w:val="22"/>
                <w:lang w:eastAsia="es-ES"/>
              </w:rPr>
            </w:pPr>
            <w:r w:rsidRPr="00192892">
              <w:rPr>
                <w:rFonts w:ascii="Montserrat" w:eastAsia="Times New Roman" w:hAnsi="Montserrat" w:cs="Arial"/>
                <w:bCs/>
                <w:sz w:val="22"/>
                <w:szCs w:val="22"/>
                <w:lang w:eastAsia="es-ES"/>
              </w:rPr>
              <w:t>Ley de Ingresos Recaudada</w:t>
            </w:r>
          </w:p>
        </w:tc>
        <w:tc>
          <w:tcPr>
            <w:tcW w:w="1985" w:type="dxa"/>
            <w:shd w:val="clear" w:color="auto" w:fill="auto"/>
            <w:vAlign w:val="center"/>
          </w:tcPr>
          <w:p w14:paraId="422B3FB0" w14:textId="22502DA4" w:rsidR="009A021D" w:rsidRPr="00192892" w:rsidRDefault="00435CD5" w:rsidP="009A021D">
            <w:pPr>
              <w:jc w:val="right"/>
              <w:rPr>
                <w:rFonts w:ascii="Montserrat" w:hAnsi="Montserrat" w:cs="Calibri"/>
                <w:bCs/>
                <w:sz w:val="22"/>
                <w:szCs w:val="22"/>
              </w:rPr>
            </w:pPr>
            <w:r w:rsidRPr="00192892">
              <w:rPr>
                <w:rFonts w:ascii="Montserrat" w:hAnsi="Montserrat" w:cs="Calibri"/>
                <w:bCs/>
                <w:sz w:val="22"/>
                <w:szCs w:val="22"/>
              </w:rPr>
              <w:t>94,674,366,572.21</w:t>
            </w:r>
          </w:p>
        </w:tc>
      </w:tr>
    </w:tbl>
    <w:p w14:paraId="2E888242" w14:textId="77777777" w:rsidR="009A021D" w:rsidRPr="00192892" w:rsidRDefault="009A021D" w:rsidP="009A021D">
      <w:pPr>
        <w:spacing w:after="120" w:line="224" w:lineRule="exact"/>
        <w:jc w:val="both"/>
        <w:rPr>
          <w:rFonts w:ascii="Montserrat" w:eastAsia="Times New Roman" w:hAnsi="Montserrat" w:cs="Arial"/>
          <w:bCs/>
          <w:sz w:val="22"/>
          <w:szCs w:val="22"/>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24"/>
      </w:tblGrid>
      <w:tr w:rsidR="00FD2DE6" w:rsidRPr="00192892" w14:paraId="7E5D581F" w14:textId="77777777" w:rsidTr="004B3002">
        <w:tc>
          <w:tcPr>
            <w:tcW w:w="7350" w:type="dxa"/>
            <w:gridSpan w:val="2"/>
            <w:shd w:val="clear" w:color="auto" w:fill="808080" w:themeFill="background1" w:themeFillShade="80"/>
          </w:tcPr>
          <w:p w14:paraId="4CF8C2FE" w14:textId="2BAC223A" w:rsidR="00447E14" w:rsidRPr="00192892" w:rsidRDefault="009A021D" w:rsidP="00447E14">
            <w:pPr>
              <w:spacing w:after="120" w:line="216" w:lineRule="exact"/>
              <w:ind w:firstLine="288"/>
              <w:jc w:val="center"/>
              <w:rPr>
                <w:rFonts w:ascii="Montserrat" w:hAnsi="Montserrat" w:cs="Arial"/>
                <w:b/>
                <w:sz w:val="22"/>
                <w:szCs w:val="22"/>
              </w:rPr>
            </w:pPr>
            <w:r w:rsidRPr="00192892">
              <w:rPr>
                <w:rFonts w:ascii="Montserrat" w:hAnsi="Montserrat"/>
                <w:b/>
                <w:sz w:val="22"/>
                <w:szCs w:val="22"/>
                <w:lang w:val="es-MX"/>
              </w:rPr>
              <w:br w:type="page"/>
            </w:r>
            <w:r w:rsidR="00447E14" w:rsidRPr="00192892">
              <w:rPr>
                <w:rFonts w:ascii="Montserrat" w:hAnsi="Montserrat" w:cs="Arial"/>
                <w:b/>
                <w:sz w:val="22"/>
                <w:szCs w:val="22"/>
              </w:rPr>
              <w:t>Cuentas de Orden Presupuestarias de Egresos</w:t>
            </w:r>
          </w:p>
        </w:tc>
      </w:tr>
      <w:tr w:rsidR="00FD2DE6" w:rsidRPr="00192892" w14:paraId="14717778" w14:textId="77777777" w:rsidTr="004B3002">
        <w:tc>
          <w:tcPr>
            <w:tcW w:w="4926" w:type="dxa"/>
            <w:shd w:val="clear" w:color="auto" w:fill="808080" w:themeFill="background1" w:themeFillShade="80"/>
          </w:tcPr>
          <w:p w14:paraId="5E0A92E6" w14:textId="77777777" w:rsidR="00447E14" w:rsidRPr="00192892" w:rsidRDefault="00447E14" w:rsidP="00447E14">
            <w:pPr>
              <w:spacing w:after="120" w:line="216" w:lineRule="exact"/>
              <w:ind w:firstLine="288"/>
              <w:jc w:val="center"/>
              <w:rPr>
                <w:rFonts w:ascii="Montserrat" w:hAnsi="Montserrat" w:cs="Arial"/>
                <w:b/>
                <w:sz w:val="22"/>
                <w:szCs w:val="22"/>
              </w:rPr>
            </w:pPr>
            <w:r w:rsidRPr="00192892">
              <w:rPr>
                <w:rFonts w:ascii="Montserrat" w:hAnsi="Montserrat" w:cs="Arial"/>
                <w:b/>
                <w:sz w:val="22"/>
                <w:szCs w:val="22"/>
              </w:rPr>
              <w:t>Concepto</w:t>
            </w:r>
          </w:p>
        </w:tc>
        <w:tc>
          <w:tcPr>
            <w:tcW w:w="2424" w:type="dxa"/>
            <w:shd w:val="clear" w:color="auto" w:fill="808080" w:themeFill="background1" w:themeFillShade="80"/>
          </w:tcPr>
          <w:p w14:paraId="56B26249" w14:textId="77777777" w:rsidR="00447E14" w:rsidRPr="00192892" w:rsidRDefault="00447E14" w:rsidP="00447E14">
            <w:pPr>
              <w:spacing w:after="120" w:line="216" w:lineRule="exact"/>
              <w:ind w:firstLine="288"/>
              <w:jc w:val="center"/>
              <w:rPr>
                <w:rFonts w:ascii="Montserrat" w:hAnsi="Montserrat" w:cs="Arial"/>
                <w:b/>
                <w:sz w:val="22"/>
                <w:szCs w:val="22"/>
              </w:rPr>
            </w:pPr>
            <w:r w:rsidRPr="00192892">
              <w:rPr>
                <w:rFonts w:ascii="Montserrat" w:hAnsi="Montserrat" w:cs="Arial"/>
                <w:b/>
                <w:sz w:val="22"/>
                <w:szCs w:val="22"/>
              </w:rPr>
              <w:t>2024</w:t>
            </w:r>
          </w:p>
        </w:tc>
      </w:tr>
      <w:tr w:rsidR="00FD2DE6" w:rsidRPr="00192892" w14:paraId="23A3F51B" w14:textId="77777777" w:rsidTr="007750B8">
        <w:trPr>
          <w:trHeight w:val="198"/>
        </w:trPr>
        <w:tc>
          <w:tcPr>
            <w:tcW w:w="4926" w:type="dxa"/>
            <w:shd w:val="clear" w:color="auto" w:fill="auto"/>
            <w:vAlign w:val="center"/>
          </w:tcPr>
          <w:p w14:paraId="6000EE1D" w14:textId="77777777" w:rsidR="00447E14" w:rsidRPr="00192892" w:rsidRDefault="00447E14" w:rsidP="00447E14">
            <w:pPr>
              <w:spacing w:after="120" w:line="216" w:lineRule="exact"/>
              <w:rPr>
                <w:rFonts w:ascii="Montserrat" w:hAnsi="Montserrat" w:cs="Arial"/>
                <w:bCs/>
                <w:sz w:val="22"/>
                <w:szCs w:val="22"/>
              </w:rPr>
            </w:pPr>
            <w:r w:rsidRPr="00192892">
              <w:rPr>
                <w:rFonts w:ascii="Montserrat" w:hAnsi="Montserrat" w:cs="Arial"/>
                <w:bCs/>
                <w:sz w:val="22"/>
                <w:szCs w:val="22"/>
              </w:rPr>
              <w:t>Presupuesto de Egresos Aprobado</w:t>
            </w:r>
          </w:p>
        </w:tc>
        <w:tc>
          <w:tcPr>
            <w:tcW w:w="2424" w:type="dxa"/>
            <w:shd w:val="clear" w:color="auto" w:fill="auto"/>
            <w:vAlign w:val="center"/>
          </w:tcPr>
          <w:p w14:paraId="1EBBBF3B" w14:textId="77777777" w:rsidR="00447E14" w:rsidRPr="00192892" w:rsidRDefault="00447E14" w:rsidP="00447E14">
            <w:pPr>
              <w:jc w:val="right"/>
              <w:rPr>
                <w:rFonts w:ascii="Montserrat" w:hAnsi="Montserrat" w:cs="Calibri"/>
                <w:bCs/>
                <w:sz w:val="22"/>
                <w:szCs w:val="22"/>
              </w:rPr>
            </w:pPr>
            <w:r w:rsidRPr="00192892">
              <w:rPr>
                <w:rFonts w:ascii="Montserrat" w:hAnsi="Montserrat" w:cs="Calibri"/>
                <w:bCs/>
                <w:sz w:val="22"/>
                <w:szCs w:val="22"/>
              </w:rPr>
              <w:t>99,619,332,375</w:t>
            </w:r>
          </w:p>
        </w:tc>
      </w:tr>
      <w:tr w:rsidR="00FD2DE6" w:rsidRPr="00192892" w14:paraId="59E7FC9E" w14:textId="77777777" w:rsidTr="007750B8">
        <w:tc>
          <w:tcPr>
            <w:tcW w:w="4926" w:type="dxa"/>
            <w:shd w:val="clear" w:color="auto" w:fill="auto"/>
            <w:vAlign w:val="center"/>
          </w:tcPr>
          <w:p w14:paraId="63FEC8E6" w14:textId="77777777" w:rsidR="00447E14" w:rsidRPr="00192892" w:rsidRDefault="00447E14" w:rsidP="00447E14">
            <w:pPr>
              <w:spacing w:after="120" w:line="216" w:lineRule="exact"/>
              <w:rPr>
                <w:rFonts w:ascii="Montserrat" w:hAnsi="Montserrat" w:cs="Arial"/>
                <w:bCs/>
                <w:sz w:val="22"/>
                <w:szCs w:val="22"/>
              </w:rPr>
            </w:pPr>
            <w:r w:rsidRPr="00192892">
              <w:rPr>
                <w:rFonts w:ascii="Montserrat" w:hAnsi="Montserrat" w:cs="Arial"/>
                <w:bCs/>
                <w:sz w:val="22"/>
                <w:szCs w:val="22"/>
              </w:rPr>
              <w:t>Presupuesto de Egresos por Ejercer</w:t>
            </w:r>
          </w:p>
        </w:tc>
        <w:tc>
          <w:tcPr>
            <w:tcW w:w="2424" w:type="dxa"/>
            <w:shd w:val="clear" w:color="auto" w:fill="auto"/>
            <w:vAlign w:val="center"/>
          </w:tcPr>
          <w:p w14:paraId="406E1352" w14:textId="19E5BC0E" w:rsidR="00447E14" w:rsidRPr="00192892" w:rsidRDefault="00435CD5" w:rsidP="00447E14">
            <w:pPr>
              <w:jc w:val="right"/>
              <w:rPr>
                <w:rFonts w:ascii="Montserrat" w:hAnsi="Montserrat" w:cs="Calibri"/>
                <w:bCs/>
                <w:sz w:val="22"/>
                <w:szCs w:val="22"/>
              </w:rPr>
            </w:pPr>
            <w:r w:rsidRPr="00192892">
              <w:rPr>
                <w:rFonts w:ascii="Montserrat" w:hAnsi="Montserrat" w:cs="Calibri"/>
                <w:bCs/>
                <w:sz w:val="22"/>
                <w:szCs w:val="22"/>
              </w:rPr>
              <w:t>45,148,300,878.27</w:t>
            </w:r>
          </w:p>
        </w:tc>
      </w:tr>
      <w:tr w:rsidR="00FD2DE6" w:rsidRPr="00192892" w14:paraId="45F7A2D4" w14:textId="77777777" w:rsidTr="007750B8">
        <w:tc>
          <w:tcPr>
            <w:tcW w:w="4926" w:type="dxa"/>
            <w:shd w:val="clear" w:color="auto" w:fill="auto"/>
            <w:vAlign w:val="center"/>
          </w:tcPr>
          <w:p w14:paraId="33D30C58" w14:textId="77777777" w:rsidR="00447E14" w:rsidRPr="00192892" w:rsidRDefault="00447E14" w:rsidP="00447E14">
            <w:pPr>
              <w:spacing w:after="120" w:line="216" w:lineRule="exact"/>
              <w:rPr>
                <w:rFonts w:ascii="Montserrat" w:hAnsi="Montserrat" w:cs="Arial"/>
                <w:bCs/>
                <w:sz w:val="22"/>
                <w:szCs w:val="22"/>
              </w:rPr>
            </w:pPr>
            <w:r w:rsidRPr="00192892">
              <w:rPr>
                <w:rFonts w:ascii="Montserrat" w:hAnsi="Montserrat" w:cs="Arial"/>
                <w:bCs/>
                <w:sz w:val="22"/>
                <w:szCs w:val="22"/>
              </w:rPr>
              <w:t>Modificaciones al Presupuesto de Egresos Aprobado</w:t>
            </w:r>
          </w:p>
        </w:tc>
        <w:tc>
          <w:tcPr>
            <w:tcW w:w="2424" w:type="dxa"/>
            <w:shd w:val="clear" w:color="auto" w:fill="auto"/>
            <w:vAlign w:val="center"/>
          </w:tcPr>
          <w:p w14:paraId="428D68BB" w14:textId="15AABE05" w:rsidR="00447E14" w:rsidRPr="00192892" w:rsidRDefault="00435CD5" w:rsidP="00447E14">
            <w:pPr>
              <w:jc w:val="right"/>
              <w:rPr>
                <w:rFonts w:ascii="Montserrat" w:hAnsi="Montserrat" w:cs="Calibri"/>
                <w:bCs/>
                <w:sz w:val="22"/>
                <w:szCs w:val="22"/>
              </w:rPr>
            </w:pPr>
            <w:r w:rsidRPr="00192892">
              <w:rPr>
                <w:rFonts w:ascii="Montserrat" w:hAnsi="Montserrat" w:cs="Calibri"/>
                <w:bCs/>
                <w:sz w:val="22"/>
                <w:szCs w:val="22"/>
              </w:rPr>
              <w:t>34,529,468,988.26</w:t>
            </w:r>
          </w:p>
        </w:tc>
      </w:tr>
      <w:tr w:rsidR="00435CD5" w:rsidRPr="00192892" w14:paraId="659B8515" w14:textId="77777777" w:rsidTr="002D1DDB">
        <w:trPr>
          <w:trHeight w:val="405"/>
        </w:trPr>
        <w:tc>
          <w:tcPr>
            <w:tcW w:w="4926" w:type="dxa"/>
            <w:shd w:val="clear" w:color="auto" w:fill="auto"/>
            <w:vAlign w:val="center"/>
          </w:tcPr>
          <w:p w14:paraId="482E7123" w14:textId="77777777" w:rsidR="00435CD5" w:rsidRPr="00192892" w:rsidRDefault="00435CD5" w:rsidP="00435CD5">
            <w:pPr>
              <w:spacing w:after="120" w:line="216" w:lineRule="exact"/>
              <w:rPr>
                <w:rFonts w:ascii="Montserrat" w:hAnsi="Montserrat" w:cs="Arial"/>
                <w:bCs/>
                <w:sz w:val="22"/>
                <w:szCs w:val="22"/>
              </w:rPr>
            </w:pPr>
            <w:r w:rsidRPr="00192892">
              <w:rPr>
                <w:rFonts w:ascii="Montserrat" w:hAnsi="Montserrat" w:cs="Arial"/>
                <w:bCs/>
                <w:sz w:val="22"/>
                <w:szCs w:val="22"/>
              </w:rPr>
              <w:t>Presupuesto de Egresos Comprometido</w:t>
            </w:r>
          </w:p>
        </w:tc>
        <w:tc>
          <w:tcPr>
            <w:tcW w:w="2424" w:type="dxa"/>
            <w:shd w:val="clear" w:color="auto" w:fill="auto"/>
          </w:tcPr>
          <w:p w14:paraId="38B7288D" w14:textId="576903FE" w:rsidR="00435CD5" w:rsidRPr="00192892" w:rsidRDefault="00435CD5" w:rsidP="00435CD5">
            <w:pPr>
              <w:jc w:val="right"/>
              <w:rPr>
                <w:rFonts w:ascii="Montserrat" w:hAnsi="Montserrat" w:cs="Calibri"/>
                <w:bCs/>
                <w:sz w:val="22"/>
                <w:szCs w:val="22"/>
              </w:rPr>
            </w:pPr>
            <w:r w:rsidRPr="00192892">
              <w:rPr>
                <w:rFonts w:ascii="Montserrat" w:hAnsi="Montserrat" w:cs="Calibri"/>
                <w:bCs/>
                <w:sz w:val="22"/>
                <w:szCs w:val="22"/>
              </w:rPr>
              <w:t xml:space="preserve"> 2,210,629,693.70 </w:t>
            </w:r>
          </w:p>
        </w:tc>
      </w:tr>
      <w:tr w:rsidR="00435CD5" w:rsidRPr="00192892" w14:paraId="6FD7C062" w14:textId="77777777" w:rsidTr="002D1DDB">
        <w:tc>
          <w:tcPr>
            <w:tcW w:w="4926" w:type="dxa"/>
            <w:shd w:val="clear" w:color="auto" w:fill="auto"/>
            <w:vAlign w:val="center"/>
          </w:tcPr>
          <w:p w14:paraId="1A4D6AFF" w14:textId="77777777" w:rsidR="00435CD5" w:rsidRPr="00192892" w:rsidRDefault="00435CD5" w:rsidP="00435CD5">
            <w:pPr>
              <w:spacing w:after="120" w:line="216" w:lineRule="exact"/>
              <w:rPr>
                <w:rFonts w:ascii="Montserrat" w:hAnsi="Montserrat" w:cs="Arial"/>
                <w:bCs/>
                <w:sz w:val="22"/>
                <w:szCs w:val="22"/>
              </w:rPr>
            </w:pPr>
            <w:r w:rsidRPr="00192892">
              <w:rPr>
                <w:rFonts w:ascii="Montserrat" w:hAnsi="Montserrat" w:cs="Arial"/>
                <w:bCs/>
                <w:sz w:val="22"/>
                <w:szCs w:val="22"/>
              </w:rPr>
              <w:t>Presupuesto de Egresos Devengado</w:t>
            </w:r>
          </w:p>
        </w:tc>
        <w:tc>
          <w:tcPr>
            <w:tcW w:w="2424" w:type="dxa"/>
            <w:shd w:val="clear" w:color="auto" w:fill="auto"/>
          </w:tcPr>
          <w:p w14:paraId="270E6F7C" w14:textId="743DE171" w:rsidR="00435CD5" w:rsidRPr="00192892" w:rsidRDefault="00435CD5" w:rsidP="00435CD5">
            <w:pPr>
              <w:jc w:val="right"/>
              <w:rPr>
                <w:rFonts w:ascii="Montserrat" w:hAnsi="Montserrat" w:cs="Calibri"/>
                <w:bCs/>
                <w:sz w:val="22"/>
                <w:szCs w:val="22"/>
              </w:rPr>
            </w:pPr>
            <w:r w:rsidRPr="00192892">
              <w:rPr>
                <w:rFonts w:ascii="Montserrat" w:hAnsi="Montserrat" w:cs="Calibri"/>
                <w:bCs/>
                <w:sz w:val="22"/>
                <w:szCs w:val="22"/>
              </w:rPr>
              <w:t xml:space="preserve"> 30,225,497.21 </w:t>
            </w:r>
          </w:p>
        </w:tc>
      </w:tr>
      <w:tr w:rsidR="00435CD5" w:rsidRPr="00192892" w14:paraId="4505D8B8" w14:textId="77777777" w:rsidTr="007750B8">
        <w:tc>
          <w:tcPr>
            <w:tcW w:w="4926" w:type="dxa"/>
            <w:shd w:val="clear" w:color="auto" w:fill="auto"/>
            <w:vAlign w:val="center"/>
          </w:tcPr>
          <w:p w14:paraId="42FC75B9" w14:textId="77777777" w:rsidR="00435CD5" w:rsidRPr="00192892" w:rsidRDefault="00435CD5" w:rsidP="00435CD5">
            <w:pPr>
              <w:spacing w:after="120" w:line="216" w:lineRule="exact"/>
              <w:rPr>
                <w:rFonts w:ascii="Montserrat" w:hAnsi="Montserrat" w:cs="Arial"/>
                <w:bCs/>
                <w:sz w:val="22"/>
                <w:szCs w:val="22"/>
              </w:rPr>
            </w:pPr>
            <w:r w:rsidRPr="00192892">
              <w:rPr>
                <w:rFonts w:ascii="Montserrat" w:hAnsi="Montserrat" w:cs="Arial"/>
                <w:bCs/>
                <w:sz w:val="22"/>
                <w:szCs w:val="22"/>
              </w:rPr>
              <w:t>Presupuesto de Egresos Ejercido</w:t>
            </w:r>
          </w:p>
        </w:tc>
        <w:tc>
          <w:tcPr>
            <w:tcW w:w="2424" w:type="dxa"/>
            <w:shd w:val="clear" w:color="auto" w:fill="auto"/>
          </w:tcPr>
          <w:p w14:paraId="6A3D1970" w14:textId="36FB2431" w:rsidR="00435CD5" w:rsidRPr="00192892" w:rsidRDefault="00435CD5" w:rsidP="00435CD5">
            <w:pPr>
              <w:jc w:val="right"/>
              <w:rPr>
                <w:rFonts w:ascii="Montserrat" w:hAnsi="Montserrat" w:cs="Calibri"/>
                <w:bCs/>
                <w:sz w:val="22"/>
                <w:szCs w:val="22"/>
              </w:rPr>
            </w:pPr>
            <w:r w:rsidRPr="00192892">
              <w:rPr>
                <w:rFonts w:ascii="Montserrat" w:hAnsi="Montserrat" w:cs="Calibri"/>
                <w:bCs/>
                <w:sz w:val="22"/>
                <w:szCs w:val="22"/>
              </w:rPr>
              <w:t xml:space="preserve"> 2,338,148,468.44 </w:t>
            </w:r>
          </w:p>
        </w:tc>
      </w:tr>
      <w:tr w:rsidR="00435CD5" w:rsidRPr="00192892" w14:paraId="73FF130F" w14:textId="77777777" w:rsidTr="007750B8">
        <w:tc>
          <w:tcPr>
            <w:tcW w:w="4926" w:type="dxa"/>
            <w:shd w:val="clear" w:color="auto" w:fill="auto"/>
            <w:vAlign w:val="center"/>
          </w:tcPr>
          <w:p w14:paraId="0C57EE6D" w14:textId="77777777" w:rsidR="00435CD5" w:rsidRPr="00192892" w:rsidRDefault="00435CD5" w:rsidP="00435CD5">
            <w:pPr>
              <w:spacing w:after="120" w:line="216" w:lineRule="exact"/>
              <w:rPr>
                <w:rFonts w:ascii="Montserrat" w:hAnsi="Montserrat" w:cs="Arial"/>
                <w:bCs/>
                <w:sz w:val="22"/>
                <w:szCs w:val="22"/>
              </w:rPr>
            </w:pPr>
            <w:r w:rsidRPr="00192892">
              <w:rPr>
                <w:rFonts w:ascii="Montserrat" w:hAnsi="Montserrat" w:cs="Arial"/>
                <w:bCs/>
                <w:sz w:val="22"/>
                <w:szCs w:val="22"/>
              </w:rPr>
              <w:t>Presupuesto de Egresos Pagado</w:t>
            </w:r>
          </w:p>
        </w:tc>
        <w:tc>
          <w:tcPr>
            <w:tcW w:w="2424" w:type="dxa"/>
            <w:shd w:val="clear" w:color="auto" w:fill="auto"/>
          </w:tcPr>
          <w:p w14:paraId="24628E70" w14:textId="6056A3D4" w:rsidR="00435CD5" w:rsidRPr="00192892" w:rsidRDefault="00435CD5" w:rsidP="00435CD5">
            <w:pPr>
              <w:jc w:val="right"/>
              <w:rPr>
                <w:rFonts w:ascii="Montserrat" w:hAnsi="Montserrat" w:cs="Calibri"/>
                <w:bCs/>
                <w:sz w:val="22"/>
                <w:szCs w:val="22"/>
              </w:rPr>
            </w:pPr>
            <w:r w:rsidRPr="00192892">
              <w:rPr>
                <w:rFonts w:ascii="Montserrat" w:hAnsi="Montserrat" w:cs="Calibri"/>
                <w:bCs/>
                <w:sz w:val="22"/>
                <w:szCs w:val="22"/>
              </w:rPr>
              <w:t xml:space="preserve"> 84,421,496,825.64 </w:t>
            </w:r>
          </w:p>
        </w:tc>
      </w:tr>
    </w:tbl>
    <w:p w14:paraId="4719E37C" w14:textId="77777777" w:rsidR="00447E14" w:rsidRPr="00192892" w:rsidRDefault="00447E14" w:rsidP="009A021D">
      <w:pPr>
        <w:spacing w:after="120" w:line="224" w:lineRule="exact"/>
        <w:jc w:val="both"/>
        <w:rPr>
          <w:rFonts w:ascii="Montserrat" w:eastAsia="Times New Roman" w:hAnsi="Montserrat" w:cs="Arial"/>
          <w:bCs/>
          <w:sz w:val="22"/>
          <w:szCs w:val="22"/>
          <w:lang w:val="es-MX" w:eastAsia="es-ES"/>
        </w:rPr>
      </w:pPr>
    </w:p>
    <w:p w14:paraId="4738D421" w14:textId="77777777" w:rsidR="00447E14" w:rsidRPr="00192892" w:rsidRDefault="00447E14" w:rsidP="009A021D">
      <w:pPr>
        <w:spacing w:after="120" w:line="224" w:lineRule="exact"/>
        <w:jc w:val="both"/>
        <w:rPr>
          <w:rFonts w:ascii="Montserrat" w:eastAsia="Times New Roman" w:hAnsi="Montserrat" w:cs="Arial"/>
          <w:bCs/>
          <w:sz w:val="22"/>
          <w:szCs w:val="22"/>
          <w:lang w:val="es-MX" w:eastAsia="es-ES"/>
        </w:rPr>
      </w:pPr>
    </w:p>
    <w:p w14:paraId="6A2EC5C9" w14:textId="77777777" w:rsidR="00447E14" w:rsidRPr="00192892" w:rsidRDefault="00447E14" w:rsidP="009A021D">
      <w:pPr>
        <w:spacing w:after="120" w:line="224" w:lineRule="exact"/>
        <w:jc w:val="both"/>
        <w:rPr>
          <w:rFonts w:ascii="Montserrat" w:eastAsia="Times New Roman" w:hAnsi="Montserrat" w:cs="Arial"/>
          <w:bCs/>
          <w:sz w:val="22"/>
          <w:szCs w:val="22"/>
          <w:lang w:val="es-MX" w:eastAsia="es-ES"/>
        </w:rPr>
      </w:pPr>
    </w:p>
    <w:p w14:paraId="04E294D9" w14:textId="77777777" w:rsidR="009A021D" w:rsidRPr="00FD2DE6" w:rsidRDefault="009A021D" w:rsidP="009A021D">
      <w:pPr>
        <w:jc w:val="center"/>
        <w:rPr>
          <w:rFonts w:ascii="Montserrat" w:hAnsi="Montserrat"/>
          <w:b/>
        </w:rPr>
      </w:pPr>
    </w:p>
    <w:p w14:paraId="0374FC9D" w14:textId="77777777" w:rsidR="009A021D" w:rsidRPr="00FD2DE6" w:rsidRDefault="009A021D" w:rsidP="009A021D">
      <w:pPr>
        <w:tabs>
          <w:tab w:val="left" w:pos="7260"/>
        </w:tabs>
        <w:jc w:val="both"/>
        <w:rPr>
          <w:rFonts w:ascii="Montserrat" w:eastAsia="Times New Roman" w:hAnsi="Montserrat" w:cs="Arial"/>
        </w:rPr>
      </w:pPr>
    </w:p>
    <w:p w14:paraId="481787AF" w14:textId="77777777" w:rsidR="009A021D" w:rsidRPr="00FD2DE6" w:rsidRDefault="009A021D" w:rsidP="009A021D">
      <w:pPr>
        <w:ind w:firstLine="720"/>
        <w:rPr>
          <w:rFonts w:ascii="Montserrat" w:hAnsi="Montserrat"/>
        </w:rPr>
      </w:pPr>
    </w:p>
    <w:sectPr w:rsidR="009A021D" w:rsidRPr="00FD2DE6" w:rsidSect="00862C05">
      <w:headerReference w:type="even" r:id="rId29"/>
      <w:headerReference w:type="default" r:id="rId30"/>
      <w:footerReference w:type="even" r:id="rId31"/>
      <w:footerReference w:type="default" r:id="rId32"/>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F3E68" w14:textId="77777777" w:rsidR="00293A6B" w:rsidRDefault="00293A6B">
      <w:r>
        <w:separator/>
      </w:r>
    </w:p>
  </w:endnote>
  <w:endnote w:type="continuationSeparator" w:id="0">
    <w:p w14:paraId="49C899E8" w14:textId="77777777" w:rsidR="00293A6B" w:rsidRDefault="0029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000000000000000"/>
    <w:charset w:val="00"/>
    <w:family w:val="modern"/>
    <w:notTrueType/>
    <w:pitch w:val="variable"/>
    <w:sig w:usb0="00000001"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w:altName w:val="Times New Roman"/>
    <w:panose1 w:val="00000000000000000000"/>
    <w:charset w:val="00"/>
    <w:family w:val="auto"/>
    <w:pitch w:val="variable"/>
    <w:sig w:usb0="A00002FF" w:usb1="4000207B" w:usb2="00000000" w:usb3="00000000" w:csb0="00000197" w:csb1="00000000"/>
  </w:font>
  <w:font w:name="Montserrat Medium">
    <w:panose1 w:val="00000000000000000000"/>
    <w:charset w:val="00"/>
    <w:family w:val="auto"/>
    <w:pitch w:val="variable"/>
    <w:sig w:usb0="A00002FF" w:usb1="4000207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84987"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77777777" w:rsidR="00912EC3" w:rsidRDefault="00912EC3">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6473890E"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912EC3" w:rsidRDefault="00912EC3">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050A" w14:textId="4E2C4A93" w:rsidR="00912EC3" w:rsidRDefault="00912EC3" w:rsidP="00344200">
    <w:pPr>
      <w:pBdr>
        <w:top w:val="nil"/>
        <w:left w:val="nil"/>
        <w:bottom w:val="nil"/>
        <w:right w:val="nil"/>
        <w:between w:val="nil"/>
      </w:pBdr>
      <w:tabs>
        <w:tab w:val="center" w:pos="4252"/>
        <w:tab w:val="right" w:pos="8504"/>
      </w:tabs>
      <w:jc w:val="right"/>
      <w:rPr>
        <w:color w:val="000000"/>
        <w:sz w:val="16"/>
        <w:szCs w:val="16"/>
      </w:rPr>
    </w:pPr>
  </w:p>
  <w:p w14:paraId="1A541D6C" w14:textId="20AEA72F" w:rsidR="00813532" w:rsidRDefault="00C32566" w:rsidP="00813532">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3er</w:t>
    </w:r>
    <w:r w:rsidR="00813532">
      <w:rPr>
        <w:color w:val="000000"/>
        <w:sz w:val="16"/>
        <w:szCs w:val="16"/>
      </w:rPr>
      <w:t xml:space="preserve"> Informe Trimestral de Avance de Gestión 2024</w:t>
    </w:r>
  </w:p>
  <w:p w14:paraId="6193B278" w14:textId="30E289FD" w:rsidR="00813532" w:rsidRDefault="00813532" w:rsidP="00813532">
    <w:pPr>
      <w:pBdr>
        <w:top w:val="nil"/>
        <w:left w:val="nil"/>
        <w:bottom w:val="nil"/>
        <w:right w:val="nil"/>
        <w:between w:val="nil"/>
      </w:pBdr>
      <w:tabs>
        <w:tab w:val="center" w:pos="4252"/>
        <w:tab w:val="right" w:pos="8504"/>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FB7E7" w14:textId="77777777" w:rsidR="00293A6B" w:rsidRDefault="00293A6B">
      <w:r>
        <w:separator/>
      </w:r>
    </w:p>
  </w:footnote>
  <w:footnote w:type="continuationSeparator" w:id="0">
    <w:p w14:paraId="4848020C" w14:textId="77777777" w:rsidR="00293A6B" w:rsidRDefault="00293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E5DAF" w14:textId="77777777" w:rsidR="00912EC3" w:rsidRDefault="00912EC3">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701A9" w14:textId="77777777" w:rsidR="00912EC3" w:rsidRDefault="00912EC3">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DC10E6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8"/>
  </w:num>
  <w:num w:numId="4">
    <w:abstractNumId w:val="13"/>
  </w:num>
  <w:num w:numId="5">
    <w:abstractNumId w:val="0"/>
  </w:num>
  <w:num w:numId="6">
    <w:abstractNumId w:val="1"/>
  </w:num>
  <w:num w:numId="7">
    <w:abstractNumId w:val="16"/>
  </w:num>
  <w:num w:numId="8">
    <w:abstractNumId w:val="5"/>
  </w:num>
  <w:num w:numId="9">
    <w:abstractNumId w:val="14"/>
  </w:num>
  <w:num w:numId="10">
    <w:abstractNumId w:val="4"/>
  </w:num>
  <w:num w:numId="11">
    <w:abstractNumId w:val="7"/>
  </w:num>
  <w:num w:numId="12">
    <w:abstractNumId w:val="2"/>
  </w:num>
  <w:num w:numId="13">
    <w:abstractNumId w:val="9"/>
  </w:num>
  <w:num w:numId="14">
    <w:abstractNumId w:val="6"/>
  </w:num>
  <w:num w:numId="15">
    <w:abstractNumId w:val="11"/>
  </w:num>
  <w:num w:numId="16">
    <w:abstractNumId w:val="18"/>
  </w:num>
  <w:num w:numId="17">
    <w:abstractNumId w:val="17"/>
  </w:num>
  <w:num w:numId="18">
    <w:abstractNumId w:val="3"/>
  </w:num>
  <w:num w:numId="19">
    <w:abstractNumId w:val="19"/>
  </w:num>
  <w:num w:numId="20">
    <w:abstractNumId w:val="20"/>
  </w:num>
  <w:num w:numId="21">
    <w:abstractNumId w:val="10"/>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5EA"/>
    <w:rsid w:val="00014A4A"/>
    <w:rsid w:val="00022173"/>
    <w:rsid w:val="00042437"/>
    <w:rsid w:val="0004316A"/>
    <w:rsid w:val="00047FD2"/>
    <w:rsid w:val="00070661"/>
    <w:rsid w:val="000716B8"/>
    <w:rsid w:val="000731B9"/>
    <w:rsid w:val="00076F11"/>
    <w:rsid w:val="00081373"/>
    <w:rsid w:val="00087EFF"/>
    <w:rsid w:val="0009795E"/>
    <w:rsid w:val="000A5732"/>
    <w:rsid w:val="000B38F8"/>
    <w:rsid w:val="000B5417"/>
    <w:rsid w:val="000B63CE"/>
    <w:rsid w:val="000E574B"/>
    <w:rsid w:val="001054E4"/>
    <w:rsid w:val="00106109"/>
    <w:rsid w:val="00116294"/>
    <w:rsid w:val="00131EB0"/>
    <w:rsid w:val="001329EA"/>
    <w:rsid w:val="001407B5"/>
    <w:rsid w:val="00140FBE"/>
    <w:rsid w:val="001456C6"/>
    <w:rsid w:val="001474C3"/>
    <w:rsid w:val="00147E93"/>
    <w:rsid w:val="001532C5"/>
    <w:rsid w:val="00160031"/>
    <w:rsid w:val="001649BE"/>
    <w:rsid w:val="00165939"/>
    <w:rsid w:val="00182F1C"/>
    <w:rsid w:val="00184517"/>
    <w:rsid w:val="00185F66"/>
    <w:rsid w:val="00190A6A"/>
    <w:rsid w:val="0019166E"/>
    <w:rsid w:val="00192892"/>
    <w:rsid w:val="001B07C1"/>
    <w:rsid w:val="001B0EE1"/>
    <w:rsid w:val="001C4EE1"/>
    <w:rsid w:val="001C4F85"/>
    <w:rsid w:val="001C6CE9"/>
    <w:rsid w:val="001D1887"/>
    <w:rsid w:val="001D3D38"/>
    <w:rsid w:val="001E1E24"/>
    <w:rsid w:val="001F021D"/>
    <w:rsid w:val="001F09BA"/>
    <w:rsid w:val="001F1AC1"/>
    <w:rsid w:val="001F47F1"/>
    <w:rsid w:val="001F581E"/>
    <w:rsid w:val="00201378"/>
    <w:rsid w:val="002017DA"/>
    <w:rsid w:val="00210582"/>
    <w:rsid w:val="0021070A"/>
    <w:rsid w:val="00215ACF"/>
    <w:rsid w:val="00233C38"/>
    <w:rsid w:val="00236182"/>
    <w:rsid w:val="00241B7A"/>
    <w:rsid w:val="00254313"/>
    <w:rsid w:val="00254EC7"/>
    <w:rsid w:val="00257A29"/>
    <w:rsid w:val="002777EB"/>
    <w:rsid w:val="002820CC"/>
    <w:rsid w:val="00291F8F"/>
    <w:rsid w:val="00293A6B"/>
    <w:rsid w:val="00295C4D"/>
    <w:rsid w:val="002B23AD"/>
    <w:rsid w:val="002B3CC5"/>
    <w:rsid w:val="002B7F7B"/>
    <w:rsid w:val="002C5CAC"/>
    <w:rsid w:val="002D798A"/>
    <w:rsid w:val="002E59AF"/>
    <w:rsid w:val="002E6541"/>
    <w:rsid w:val="00316925"/>
    <w:rsid w:val="00317CCC"/>
    <w:rsid w:val="003237FF"/>
    <w:rsid w:val="0033229E"/>
    <w:rsid w:val="0033274A"/>
    <w:rsid w:val="00344200"/>
    <w:rsid w:val="00351111"/>
    <w:rsid w:val="00353D98"/>
    <w:rsid w:val="00362B39"/>
    <w:rsid w:val="00371D67"/>
    <w:rsid w:val="003828F1"/>
    <w:rsid w:val="00382CE2"/>
    <w:rsid w:val="0038714E"/>
    <w:rsid w:val="00390D92"/>
    <w:rsid w:val="00393739"/>
    <w:rsid w:val="003B1546"/>
    <w:rsid w:val="003C7789"/>
    <w:rsid w:val="003D2162"/>
    <w:rsid w:val="003D5242"/>
    <w:rsid w:val="003E3F7F"/>
    <w:rsid w:val="003E76BA"/>
    <w:rsid w:val="003F0261"/>
    <w:rsid w:val="003F5B17"/>
    <w:rsid w:val="004029E5"/>
    <w:rsid w:val="00403C91"/>
    <w:rsid w:val="00404938"/>
    <w:rsid w:val="004109C4"/>
    <w:rsid w:val="00424A70"/>
    <w:rsid w:val="00431EBD"/>
    <w:rsid w:val="00434939"/>
    <w:rsid w:val="00435CD5"/>
    <w:rsid w:val="004365E9"/>
    <w:rsid w:val="004444AD"/>
    <w:rsid w:val="00444827"/>
    <w:rsid w:val="00445927"/>
    <w:rsid w:val="00447555"/>
    <w:rsid w:val="0044783D"/>
    <w:rsid w:val="00447E14"/>
    <w:rsid w:val="00461406"/>
    <w:rsid w:val="00464474"/>
    <w:rsid w:val="00470135"/>
    <w:rsid w:val="00474646"/>
    <w:rsid w:val="00477D94"/>
    <w:rsid w:val="00486744"/>
    <w:rsid w:val="004A106E"/>
    <w:rsid w:val="004A1B77"/>
    <w:rsid w:val="004B3002"/>
    <w:rsid w:val="004B6573"/>
    <w:rsid w:val="004D03A4"/>
    <w:rsid w:val="004D2BEF"/>
    <w:rsid w:val="00503B9C"/>
    <w:rsid w:val="005076B8"/>
    <w:rsid w:val="0051224D"/>
    <w:rsid w:val="00513FFC"/>
    <w:rsid w:val="00523452"/>
    <w:rsid w:val="00525220"/>
    <w:rsid w:val="00526238"/>
    <w:rsid w:val="00526DED"/>
    <w:rsid w:val="00531942"/>
    <w:rsid w:val="0054762D"/>
    <w:rsid w:val="00553A13"/>
    <w:rsid w:val="005556D5"/>
    <w:rsid w:val="00555871"/>
    <w:rsid w:val="00567282"/>
    <w:rsid w:val="00570EEB"/>
    <w:rsid w:val="00577DCC"/>
    <w:rsid w:val="005A53BA"/>
    <w:rsid w:val="005A54FE"/>
    <w:rsid w:val="005A5F96"/>
    <w:rsid w:val="005B5280"/>
    <w:rsid w:val="005B740F"/>
    <w:rsid w:val="005B7E5B"/>
    <w:rsid w:val="005C0A3B"/>
    <w:rsid w:val="005C20BF"/>
    <w:rsid w:val="005C6C93"/>
    <w:rsid w:val="005C7D8C"/>
    <w:rsid w:val="005E2945"/>
    <w:rsid w:val="005E2988"/>
    <w:rsid w:val="005E44C4"/>
    <w:rsid w:val="005F3981"/>
    <w:rsid w:val="005F5862"/>
    <w:rsid w:val="005F676F"/>
    <w:rsid w:val="00600320"/>
    <w:rsid w:val="006077E4"/>
    <w:rsid w:val="00607B28"/>
    <w:rsid w:val="006165F8"/>
    <w:rsid w:val="00624A68"/>
    <w:rsid w:val="00630474"/>
    <w:rsid w:val="006549CB"/>
    <w:rsid w:val="00670A96"/>
    <w:rsid w:val="00687080"/>
    <w:rsid w:val="006A225B"/>
    <w:rsid w:val="006A53B2"/>
    <w:rsid w:val="006C01D7"/>
    <w:rsid w:val="006C0D22"/>
    <w:rsid w:val="006D2C27"/>
    <w:rsid w:val="006D3FB3"/>
    <w:rsid w:val="006F1CA6"/>
    <w:rsid w:val="006F23BD"/>
    <w:rsid w:val="006F4482"/>
    <w:rsid w:val="00702DAE"/>
    <w:rsid w:val="00705B0B"/>
    <w:rsid w:val="0070614E"/>
    <w:rsid w:val="00720DA5"/>
    <w:rsid w:val="007262BA"/>
    <w:rsid w:val="00726E9D"/>
    <w:rsid w:val="00733D83"/>
    <w:rsid w:val="007424F5"/>
    <w:rsid w:val="007450FA"/>
    <w:rsid w:val="0074544F"/>
    <w:rsid w:val="0075562D"/>
    <w:rsid w:val="00766771"/>
    <w:rsid w:val="00771A4F"/>
    <w:rsid w:val="00772A80"/>
    <w:rsid w:val="00773C84"/>
    <w:rsid w:val="00774C87"/>
    <w:rsid w:val="00775091"/>
    <w:rsid w:val="007829C8"/>
    <w:rsid w:val="007A4256"/>
    <w:rsid w:val="007B1E3E"/>
    <w:rsid w:val="007B2D07"/>
    <w:rsid w:val="007B5ADF"/>
    <w:rsid w:val="007B642B"/>
    <w:rsid w:val="007C00D1"/>
    <w:rsid w:val="007C0F8C"/>
    <w:rsid w:val="007C54D7"/>
    <w:rsid w:val="007D2912"/>
    <w:rsid w:val="007F333B"/>
    <w:rsid w:val="007F694C"/>
    <w:rsid w:val="007F6B67"/>
    <w:rsid w:val="00804331"/>
    <w:rsid w:val="00807455"/>
    <w:rsid w:val="00813532"/>
    <w:rsid w:val="00822E0D"/>
    <w:rsid w:val="0083243A"/>
    <w:rsid w:val="00836D65"/>
    <w:rsid w:val="0083744C"/>
    <w:rsid w:val="008405A6"/>
    <w:rsid w:val="008424E3"/>
    <w:rsid w:val="008461FB"/>
    <w:rsid w:val="00862C05"/>
    <w:rsid w:val="00870C53"/>
    <w:rsid w:val="008757FA"/>
    <w:rsid w:val="0087788F"/>
    <w:rsid w:val="00881CA9"/>
    <w:rsid w:val="00882EAC"/>
    <w:rsid w:val="008840F8"/>
    <w:rsid w:val="008A42FA"/>
    <w:rsid w:val="008A6084"/>
    <w:rsid w:val="008B1D18"/>
    <w:rsid w:val="008C4856"/>
    <w:rsid w:val="008F07BB"/>
    <w:rsid w:val="009013BE"/>
    <w:rsid w:val="00906DEB"/>
    <w:rsid w:val="00912EC3"/>
    <w:rsid w:val="00913106"/>
    <w:rsid w:val="00916F1F"/>
    <w:rsid w:val="00922D56"/>
    <w:rsid w:val="009266A4"/>
    <w:rsid w:val="00926C5C"/>
    <w:rsid w:val="00930434"/>
    <w:rsid w:val="009328B0"/>
    <w:rsid w:val="00942EA5"/>
    <w:rsid w:val="00954D7F"/>
    <w:rsid w:val="0096384C"/>
    <w:rsid w:val="00972981"/>
    <w:rsid w:val="00977E4E"/>
    <w:rsid w:val="00981081"/>
    <w:rsid w:val="009848CB"/>
    <w:rsid w:val="00986625"/>
    <w:rsid w:val="00991268"/>
    <w:rsid w:val="0099356A"/>
    <w:rsid w:val="00995299"/>
    <w:rsid w:val="009A021D"/>
    <w:rsid w:val="009C05EA"/>
    <w:rsid w:val="009C33D9"/>
    <w:rsid w:val="009D0747"/>
    <w:rsid w:val="009D6819"/>
    <w:rsid w:val="009E2401"/>
    <w:rsid w:val="009E4515"/>
    <w:rsid w:val="009F1500"/>
    <w:rsid w:val="009F48DE"/>
    <w:rsid w:val="009F6384"/>
    <w:rsid w:val="00A018AA"/>
    <w:rsid w:val="00A0674D"/>
    <w:rsid w:val="00A12916"/>
    <w:rsid w:val="00A14E65"/>
    <w:rsid w:val="00A15D46"/>
    <w:rsid w:val="00A172FB"/>
    <w:rsid w:val="00A2163E"/>
    <w:rsid w:val="00A23539"/>
    <w:rsid w:val="00A2374E"/>
    <w:rsid w:val="00A259CD"/>
    <w:rsid w:val="00A42655"/>
    <w:rsid w:val="00A525C8"/>
    <w:rsid w:val="00A5739A"/>
    <w:rsid w:val="00A63762"/>
    <w:rsid w:val="00A7045B"/>
    <w:rsid w:val="00A73E15"/>
    <w:rsid w:val="00A966A5"/>
    <w:rsid w:val="00A97673"/>
    <w:rsid w:val="00AA1A78"/>
    <w:rsid w:val="00AA789E"/>
    <w:rsid w:val="00AB47C9"/>
    <w:rsid w:val="00AC1764"/>
    <w:rsid w:val="00AC1918"/>
    <w:rsid w:val="00AC7403"/>
    <w:rsid w:val="00AE05B2"/>
    <w:rsid w:val="00AE1395"/>
    <w:rsid w:val="00AE4D5C"/>
    <w:rsid w:val="00AE5513"/>
    <w:rsid w:val="00AF5CFD"/>
    <w:rsid w:val="00AF616C"/>
    <w:rsid w:val="00B0059B"/>
    <w:rsid w:val="00B0178D"/>
    <w:rsid w:val="00B01D8C"/>
    <w:rsid w:val="00B067CB"/>
    <w:rsid w:val="00B13E69"/>
    <w:rsid w:val="00B17EE9"/>
    <w:rsid w:val="00B20417"/>
    <w:rsid w:val="00B25863"/>
    <w:rsid w:val="00B2668F"/>
    <w:rsid w:val="00B34479"/>
    <w:rsid w:val="00B34987"/>
    <w:rsid w:val="00B36FBA"/>
    <w:rsid w:val="00B40541"/>
    <w:rsid w:val="00B40D03"/>
    <w:rsid w:val="00B417F4"/>
    <w:rsid w:val="00B61B95"/>
    <w:rsid w:val="00B64927"/>
    <w:rsid w:val="00B66A10"/>
    <w:rsid w:val="00B83797"/>
    <w:rsid w:val="00B838A8"/>
    <w:rsid w:val="00B859AE"/>
    <w:rsid w:val="00B91C17"/>
    <w:rsid w:val="00B9559F"/>
    <w:rsid w:val="00B9573C"/>
    <w:rsid w:val="00B960F1"/>
    <w:rsid w:val="00B96B36"/>
    <w:rsid w:val="00BA21BD"/>
    <w:rsid w:val="00BA4167"/>
    <w:rsid w:val="00BA73A8"/>
    <w:rsid w:val="00BB255B"/>
    <w:rsid w:val="00BB3D78"/>
    <w:rsid w:val="00BC1FE8"/>
    <w:rsid w:val="00BC44D1"/>
    <w:rsid w:val="00BD1924"/>
    <w:rsid w:val="00BD511E"/>
    <w:rsid w:val="00BE09A9"/>
    <w:rsid w:val="00BE5FB4"/>
    <w:rsid w:val="00BE6A86"/>
    <w:rsid w:val="00BF49A1"/>
    <w:rsid w:val="00BF547E"/>
    <w:rsid w:val="00BF71DA"/>
    <w:rsid w:val="00C027F5"/>
    <w:rsid w:val="00C06D43"/>
    <w:rsid w:val="00C12D9C"/>
    <w:rsid w:val="00C1445B"/>
    <w:rsid w:val="00C21886"/>
    <w:rsid w:val="00C238FA"/>
    <w:rsid w:val="00C32566"/>
    <w:rsid w:val="00C40026"/>
    <w:rsid w:val="00C43E2D"/>
    <w:rsid w:val="00C441C0"/>
    <w:rsid w:val="00C441E4"/>
    <w:rsid w:val="00C57457"/>
    <w:rsid w:val="00C64441"/>
    <w:rsid w:val="00C664F8"/>
    <w:rsid w:val="00C87880"/>
    <w:rsid w:val="00C92394"/>
    <w:rsid w:val="00C9363D"/>
    <w:rsid w:val="00C953B4"/>
    <w:rsid w:val="00CA1292"/>
    <w:rsid w:val="00CA6232"/>
    <w:rsid w:val="00CB14C9"/>
    <w:rsid w:val="00CB2C25"/>
    <w:rsid w:val="00CB4CD8"/>
    <w:rsid w:val="00CB4D54"/>
    <w:rsid w:val="00CD23B6"/>
    <w:rsid w:val="00CD5442"/>
    <w:rsid w:val="00CD6DCA"/>
    <w:rsid w:val="00CE204A"/>
    <w:rsid w:val="00CE2C51"/>
    <w:rsid w:val="00D06175"/>
    <w:rsid w:val="00D063E6"/>
    <w:rsid w:val="00D11DF7"/>
    <w:rsid w:val="00D23930"/>
    <w:rsid w:val="00D47C2F"/>
    <w:rsid w:val="00D51D73"/>
    <w:rsid w:val="00D521A5"/>
    <w:rsid w:val="00D52530"/>
    <w:rsid w:val="00D56D92"/>
    <w:rsid w:val="00D57CCB"/>
    <w:rsid w:val="00D70A3F"/>
    <w:rsid w:val="00D71760"/>
    <w:rsid w:val="00D71A7E"/>
    <w:rsid w:val="00D83709"/>
    <w:rsid w:val="00D917CF"/>
    <w:rsid w:val="00D91901"/>
    <w:rsid w:val="00DB761E"/>
    <w:rsid w:val="00DD6F74"/>
    <w:rsid w:val="00DE22D3"/>
    <w:rsid w:val="00DE372D"/>
    <w:rsid w:val="00DF003E"/>
    <w:rsid w:val="00DF1ECA"/>
    <w:rsid w:val="00DF39AD"/>
    <w:rsid w:val="00E26F00"/>
    <w:rsid w:val="00E45266"/>
    <w:rsid w:val="00E542FF"/>
    <w:rsid w:val="00E56EF6"/>
    <w:rsid w:val="00E5754B"/>
    <w:rsid w:val="00E62671"/>
    <w:rsid w:val="00E6594D"/>
    <w:rsid w:val="00E75CBB"/>
    <w:rsid w:val="00E77210"/>
    <w:rsid w:val="00E8294A"/>
    <w:rsid w:val="00E92835"/>
    <w:rsid w:val="00EA34A8"/>
    <w:rsid w:val="00EA5031"/>
    <w:rsid w:val="00EA68C0"/>
    <w:rsid w:val="00EA7092"/>
    <w:rsid w:val="00EB1C4F"/>
    <w:rsid w:val="00EB6464"/>
    <w:rsid w:val="00EB6FF2"/>
    <w:rsid w:val="00ED0232"/>
    <w:rsid w:val="00ED06DD"/>
    <w:rsid w:val="00ED301D"/>
    <w:rsid w:val="00ED7481"/>
    <w:rsid w:val="00EE01B3"/>
    <w:rsid w:val="00EF270D"/>
    <w:rsid w:val="00EF759F"/>
    <w:rsid w:val="00F01204"/>
    <w:rsid w:val="00F01F23"/>
    <w:rsid w:val="00F0406B"/>
    <w:rsid w:val="00F129E5"/>
    <w:rsid w:val="00F15C68"/>
    <w:rsid w:val="00F17099"/>
    <w:rsid w:val="00F321C4"/>
    <w:rsid w:val="00F3437C"/>
    <w:rsid w:val="00F35BB3"/>
    <w:rsid w:val="00F377B8"/>
    <w:rsid w:val="00F41F74"/>
    <w:rsid w:val="00F4586E"/>
    <w:rsid w:val="00F53BF2"/>
    <w:rsid w:val="00F54D26"/>
    <w:rsid w:val="00F60DC8"/>
    <w:rsid w:val="00F709E4"/>
    <w:rsid w:val="00F80903"/>
    <w:rsid w:val="00F9516C"/>
    <w:rsid w:val="00FA6407"/>
    <w:rsid w:val="00FB3A33"/>
    <w:rsid w:val="00FC638C"/>
    <w:rsid w:val="00FD2DE6"/>
    <w:rsid w:val="00FD37F0"/>
    <w:rsid w:val="00FD3EAB"/>
    <w:rsid w:val="00FD7686"/>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5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customStyle="1" w:styleId="UnresolvedMention">
    <w:name w:val="Unresolved Mention"/>
    <w:basedOn w:val="Fuentedeprrafopredeter"/>
    <w:uiPriority w:val="99"/>
    <w:semiHidden/>
    <w:unhideWhenUsed/>
    <w:rsid w:val="0014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hyperlink" Target="https://es.wikipedia.org/wiki/Anexo:Entidades_federativas_de_M%C3%A9xico_por_PIB_per_c%C3%A1pit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ilenio.com/negocios/ocde-reduce-expectativa-crecimiento-mexico-2024"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4.emf"/><Relationship Id="rId30" Type="http://schemas.openxmlformats.org/officeDocument/2006/relationships/header" Target="head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RAGON\Desktop\2024\TRIMESTRAL\3er.%20Trimestre%202024\graficos-%203er.Trimestre%2020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RAGON\Desktop\2024\TRIMESTRAL\3er.%20Trimestre%202024\graficos-%203er.Trimestre%20202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82722989772165"/>
          <c:y val="0.24857365686383612"/>
          <c:w val="0.72661865341465148"/>
          <c:h val="0.6224263164910061"/>
        </c:manualLayout>
      </c:layout>
      <c:barChart>
        <c:barDir val="col"/>
        <c:grouping val="clustered"/>
        <c:varyColors val="0"/>
        <c:ser>
          <c:idx val="0"/>
          <c:order val="0"/>
          <c:spPr>
            <a:solidFill>
              <a:srgbClr val="DD4FAA"/>
            </a:solidFill>
          </c:spPr>
          <c:invertIfNegative val="0"/>
          <c:dPt>
            <c:idx val="0"/>
            <c:invertIfNegative val="0"/>
            <c:bubble3D val="0"/>
            <c:spPr>
              <a:solidFill>
                <a:srgbClr val="D20055"/>
              </a:solidFill>
              <a:ln>
                <a:solidFill>
                  <a:srgbClr val="BE2853"/>
                </a:solidFill>
              </a:ln>
            </c:spPr>
            <c:extLst>
              <c:ext xmlns:c16="http://schemas.microsoft.com/office/drawing/2014/chart" uri="{C3380CC4-5D6E-409C-BE32-E72D297353CC}">
                <c16:uniqueId val="{00000001-ACE3-4F83-A387-9DD63D76D6A7}"/>
              </c:ext>
            </c:extLst>
          </c:dPt>
          <c:dPt>
            <c:idx val="1"/>
            <c:invertIfNegative val="0"/>
            <c:bubble3D val="0"/>
            <c:extLst>
              <c:ext xmlns:c16="http://schemas.microsoft.com/office/drawing/2014/chart" uri="{C3380CC4-5D6E-409C-BE32-E72D297353CC}">
                <c16:uniqueId val="{00000002-ACE3-4F83-A387-9DD63D76D6A7}"/>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CE3-4F83-A387-9DD63D76D6A7}"/>
                </c:ext>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CE3-4F83-A387-9DD63D76D6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auditoria!$A$4:$A$5</c:f>
              <c:strCache>
                <c:ptCount val="2"/>
                <c:pt idx="0">
                  <c:v>Realizados</c:v>
                </c:pt>
                <c:pt idx="1">
                  <c:v>Programados</c:v>
                </c:pt>
              </c:strCache>
            </c:strRef>
          </c:cat>
          <c:val>
            <c:numRef>
              <c:f>auditoria!$B$4:$B$5</c:f>
              <c:numCache>
                <c:formatCode>General</c:formatCode>
                <c:ptCount val="2"/>
                <c:pt idx="0">
                  <c:v>418</c:v>
                </c:pt>
                <c:pt idx="1">
                  <c:v>345</c:v>
                </c:pt>
              </c:numCache>
            </c:numRef>
          </c:val>
          <c:extLst>
            <c:ext xmlns:c16="http://schemas.microsoft.com/office/drawing/2014/chart" uri="{C3380CC4-5D6E-409C-BE32-E72D297353CC}">
              <c16:uniqueId val="{00000003-ACE3-4F83-A387-9DD63D76D6A7}"/>
            </c:ext>
          </c:extLst>
        </c:ser>
        <c:dLbls>
          <c:showLegendKey val="0"/>
          <c:showVal val="0"/>
          <c:showCatName val="0"/>
          <c:showSerName val="0"/>
          <c:showPercent val="0"/>
          <c:showBubbleSize val="0"/>
        </c:dLbls>
        <c:gapWidth val="150"/>
        <c:axId val="-276919472"/>
        <c:axId val="-276926544"/>
      </c:barChart>
      <c:catAx>
        <c:axId val="-276919472"/>
        <c:scaling>
          <c:orientation val="minMax"/>
        </c:scaling>
        <c:delete val="0"/>
        <c:axPos val="b"/>
        <c:numFmt formatCode="General" sourceLinked="0"/>
        <c:majorTickMark val="out"/>
        <c:minorTickMark val="none"/>
        <c:tickLblPos val="nextTo"/>
        <c:crossAx val="-276926544"/>
        <c:crosses val="autoZero"/>
        <c:auto val="0"/>
        <c:lblAlgn val="ctr"/>
        <c:lblOffset val="100"/>
        <c:noMultiLvlLbl val="0"/>
      </c:catAx>
      <c:valAx>
        <c:axId val="-276926544"/>
        <c:scaling>
          <c:orientation val="minMax"/>
          <c:min val="0"/>
        </c:scaling>
        <c:delete val="1"/>
        <c:axPos val="l"/>
        <c:numFmt formatCode="General" sourceLinked="1"/>
        <c:majorTickMark val="out"/>
        <c:minorTickMark val="none"/>
        <c:tickLblPos val="nextTo"/>
        <c:crossAx val="-276919472"/>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68782047939371"/>
          <c:y val="0.2467508297000065"/>
          <c:w val="0.59501626610148728"/>
          <c:h val="0.55889731274685728"/>
        </c:manualLayout>
      </c:layout>
      <c:barChart>
        <c:barDir val="bar"/>
        <c:grouping val="stacked"/>
        <c:varyColors val="0"/>
        <c:ser>
          <c:idx val="0"/>
          <c:order val="0"/>
          <c:invertIfNegative val="0"/>
          <c:dPt>
            <c:idx val="0"/>
            <c:invertIfNegative val="0"/>
            <c:bubble3D val="0"/>
            <c:spPr>
              <a:solidFill>
                <a:srgbClr val="D20055"/>
              </a:solidFill>
            </c:spPr>
            <c:extLst>
              <c:ext xmlns:c16="http://schemas.microsoft.com/office/drawing/2014/chart" uri="{C3380CC4-5D6E-409C-BE32-E72D297353CC}">
                <c16:uniqueId val="{00000001-4F5E-4AF2-9085-68D00F2D623F}"/>
              </c:ext>
            </c:extLst>
          </c:dPt>
          <c:dPt>
            <c:idx val="1"/>
            <c:invertIfNegative val="0"/>
            <c:bubble3D val="0"/>
            <c:spPr>
              <a:solidFill>
                <a:srgbClr val="DD4FAA"/>
              </a:solidFill>
            </c:spPr>
            <c:extLst>
              <c:ext xmlns:c16="http://schemas.microsoft.com/office/drawing/2014/chart" uri="{C3380CC4-5D6E-409C-BE32-E72D297353CC}">
                <c16:uniqueId val="{00000003-4F5E-4AF2-9085-68D00F2D623F}"/>
              </c:ext>
            </c:extLst>
          </c:dPt>
          <c:dLbls>
            <c:dLbl>
              <c:idx val="0"/>
              <c:layout>
                <c:manualLayout>
                  <c:x val="0.29322226278006641"/>
                  <c:y val="1.29845339580476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F5E-4AF2-9085-68D00F2D623F}"/>
                </c:ext>
              </c:extLst>
            </c:dLbl>
            <c:dLbl>
              <c:idx val="1"/>
              <c:layout>
                <c:manualLayout>
                  <c:x val="0.28424744920130018"/>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F5E-4AF2-9085-68D00F2D623F}"/>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auditoria!$A$16:$A$17</c:f>
              <c:strCache>
                <c:ptCount val="2"/>
                <c:pt idx="0">
                  <c:v>Realizados</c:v>
                </c:pt>
                <c:pt idx="1">
                  <c:v>Programados</c:v>
                </c:pt>
              </c:strCache>
            </c:strRef>
          </c:cat>
          <c:val>
            <c:numRef>
              <c:f>auditoria!$B$16:$B$17</c:f>
              <c:numCache>
                <c:formatCode>General</c:formatCode>
                <c:ptCount val="2"/>
                <c:pt idx="0">
                  <c:v>12</c:v>
                </c:pt>
                <c:pt idx="1">
                  <c:v>12</c:v>
                </c:pt>
              </c:numCache>
            </c:numRef>
          </c:val>
          <c:extLst>
            <c:ext xmlns:c16="http://schemas.microsoft.com/office/drawing/2014/chart" uri="{C3380CC4-5D6E-409C-BE32-E72D297353CC}">
              <c16:uniqueId val="{00000004-4F5E-4AF2-9085-68D00F2D623F}"/>
            </c:ext>
          </c:extLst>
        </c:ser>
        <c:dLbls>
          <c:showLegendKey val="0"/>
          <c:showVal val="0"/>
          <c:showCatName val="0"/>
          <c:showSerName val="0"/>
          <c:showPercent val="0"/>
          <c:showBubbleSize val="0"/>
        </c:dLbls>
        <c:gapWidth val="150"/>
        <c:overlap val="100"/>
        <c:axId val="-276918928"/>
        <c:axId val="-276921104"/>
      </c:barChart>
      <c:catAx>
        <c:axId val="-276918928"/>
        <c:scaling>
          <c:orientation val="minMax"/>
        </c:scaling>
        <c:delete val="0"/>
        <c:axPos val="l"/>
        <c:numFmt formatCode="General" sourceLinked="0"/>
        <c:majorTickMark val="out"/>
        <c:minorTickMark val="none"/>
        <c:tickLblPos val="nextTo"/>
        <c:crossAx val="-276921104"/>
        <c:crosses val="autoZero"/>
        <c:auto val="1"/>
        <c:lblAlgn val="ctr"/>
        <c:lblOffset val="100"/>
        <c:noMultiLvlLbl val="0"/>
      </c:catAx>
      <c:valAx>
        <c:axId val="-276921104"/>
        <c:scaling>
          <c:orientation val="minMax"/>
          <c:min val="0"/>
        </c:scaling>
        <c:delete val="1"/>
        <c:axPos val="b"/>
        <c:numFmt formatCode="General" sourceLinked="1"/>
        <c:majorTickMark val="out"/>
        <c:minorTickMark val="none"/>
        <c:tickLblPos val="nextTo"/>
        <c:crossAx val="-2769189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A24DD-676C-42FE-B061-E9039E4E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17005</Words>
  <Characters>93530</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C.P. Evangelina</cp:lastModifiedBy>
  <cp:revision>2</cp:revision>
  <cp:lastPrinted>2024-04-02T22:01:00Z</cp:lastPrinted>
  <dcterms:created xsi:type="dcterms:W3CDTF">2024-10-28T21:58:00Z</dcterms:created>
  <dcterms:modified xsi:type="dcterms:W3CDTF">2024-10-28T21:58:00Z</dcterms:modified>
</cp:coreProperties>
</file>